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53C073AF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AE0659">
        <w:rPr>
          <w:b/>
          <w:bCs/>
          <w:noProof/>
          <w:sz w:val="24"/>
          <w:szCs w:val="24"/>
        </w:rPr>
        <w:t>4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114FE8">
        <w:rPr>
          <w:b/>
          <w:bCs/>
          <w:noProof/>
          <w:sz w:val="24"/>
          <w:szCs w:val="24"/>
        </w:rPr>
        <w:t>50</w:t>
      </w:r>
      <w:r w:rsidR="00DE599F">
        <w:rPr>
          <w:b/>
          <w:bCs/>
          <w:noProof/>
          <w:sz w:val="24"/>
          <w:szCs w:val="24"/>
        </w:rPr>
        <w:t>1750</w:t>
      </w:r>
    </w:p>
    <w:p w14:paraId="63C63B34" w14:textId="1432C913" w:rsidR="001512D7" w:rsidRPr="0010618D" w:rsidRDefault="00AE0659" w:rsidP="00AE0659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Athens</w:t>
      </w:r>
      <w:r w:rsidR="00380A44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Greece</w:t>
      </w:r>
      <w:r w:rsidR="00380A44">
        <w:rPr>
          <w:rFonts w:ascii="Arial" w:hAnsi="Arial" w:cs="Arial"/>
          <w:b/>
          <w:sz w:val="24"/>
        </w:rPr>
        <w:t xml:space="preserve"> </w:t>
      </w:r>
      <w:r w:rsidR="006B0B9F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7</w:t>
      </w:r>
      <w:r w:rsidR="006B0B9F" w:rsidRPr="002542A0">
        <w:rPr>
          <w:rFonts w:ascii="Arial" w:hAnsi="Arial" w:cs="Arial"/>
          <w:b/>
          <w:sz w:val="24"/>
          <w:vertAlign w:val="superscript"/>
        </w:rPr>
        <w:t>th</w:t>
      </w:r>
      <w:r w:rsidR="006B0B9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</w:t>
      </w:r>
      <w:r w:rsidR="00506723">
        <w:rPr>
          <w:rFonts w:ascii="Arial" w:hAnsi="Arial" w:cs="Arial"/>
          <w:b/>
          <w:sz w:val="24"/>
        </w:rPr>
        <w:t xml:space="preserve"> </w:t>
      </w:r>
      <w:r w:rsidR="006B0B9F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  <w:vertAlign w:val="superscript"/>
        </w:rPr>
        <w:t>st</w:t>
      </w:r>
      <w:r w:rsidR="006B0B9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78B740B1" w:rsidR="005E0013" w:rsidRPr="00E96C56" w:rsidRDefault="005E0013" w:rsidP="00BF0D44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BF0D44" w:rsidRPr="004E2E76">
        <w:rPr>
          <w:rFonts w:ascii="Arial" w:hAnsi="Arial" w:cs="Arial"/>
          <w:b/>
        </w:rPr>
        <w:t>MPR for FR1 intra-band UL CA</w:t>
      </w:r>
    </w:p>
    <w:p w14:paraId="73CE2741" w14:textId="716F63AF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F219A">
        <w:rPr>
          <w:rFonts w:ascii="Arial" w:hAnsi="Arial" w:cs="Arial"/>
          <w:b/>
        </w:rPr>
        <w:t>7.1.1</w:t>
      </w:r>
      <w:r w:rsidR="005964C2">
        <w:rPr>
          <w:rFonts w:ascii="Arial" w:hAnsi="Arial" w:cs="Arial"/>
          <w:b/>
        </w:rPr>
        <w:t>.2.2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1B7F9957" w:rsidR="00E429C7" w:rsidRPr="00313B11" w:rsidRDefault="00E429C7" w:rsidP="00E429C7">
      <w:r>
        <w:t>In RAN</w:t>
      </w:r>
      <w:r w:rsidR="00114B9B">
        <w:t>4#11</w:t>
      </w:r>
      <w:r w:rsidR="00925429">
        <w:t>3</w:t>
      </w:r>
      <w:r w:rsidR="00114B9B">
        <w:t xml:space="preserve"> there was</w:t>
      </w:r>
      <w:r w:rsidR="00144800">
        <w:t xml:space="preserve"> much</w:t>
      </w:r>
      <w:r w:rsidR="00114B9B">
        <w:t xml:space="preserve"> discussion on </w:t>
      </w:r>
      <w:r w:rsidR="00093E12">
        <w:t>FR1 intra-band ULCA</w:t>
      </w:r>
      <w:r w:rsidR="00E60DEC">
        <w:t>.</w:t>
      </w:r>
      <w:r w:rsidR="00B309E6">
        <w:t xml:space="preserve"> In this paper we further present our views on </w:t>
      </w:r>
      <w:r w:rsidR="00EE2557">
        <w:t xml:space="preserve">the remaining open issues on </w:t>
      </w:r>
      <w:r w:rsidR="00B309E6">
        <w:t xml:space="preserve">this topic. </w:t>
      </w:r>
      <w:r w:rsidR="00093E12">
        <w:t xml:space="preserve"> </w:t>
      </w:r>
      <w:r w:rsidR="001408DD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45DF51D4" w14:textId="52D07D01" w:rsidR="005D22EF" w:rsidRPr="001B69A3" w:rsidRDefault="000B0AD1" w:rsidP="00CA3F9E">
      <w:pPr>
        <w:rPr>
          <w:b/>
          <w:bCs/>
        </w:rPr>
      </w:pPr>
      <w:r w:rsidRPr="007A78F1">
        <w:t>In RAN4#</w:t>
      </w:r>
      <w:r w:rsidR="007324D6" w:rsidRPr="007A78F1">
        <w:t>1</w:t>
      </w:r>
      <w:r w:rsidR="00144800" w:rsidRPr="007A78F1">
        <w:t>1</w:t>
      </w:r>
      <w:r w:rsidR="00725210">
        <w:t>3</w:t>
      </w:r>
      <w:r w:rsidR="007324D6" w:rsidRPr="007A78F1">
        <w:t xml:space="preserve"> a</w:t>
      </w:r>
      <w:r w:rsidRPr="007A78F1">
        <w:t xml:space="preserve"> </w:t>
      </w:r>
      <w:r w:rsidR="00BD3CA3" w:rsidRPr="007A78F1">
        <w:t>W</w:t>
      </w:r>
      <w:r w:rsidR="00D07EA8" w:rsidRPr="007A78F1">
        <w:t>F</w:t>
      </w:r>
      <w:r w:rsidR="00BD3CA3" w:rsidRPr="007A78F1">
        <w:t xml:space="preserve"> </w:t>
      </w:r>
      <w:r w:rsidR="00BE23BA" w:rsidRPr="007A78F1">
        <w:t xml:space="preserve">was </w:t>
      </w:r>
      <w:r w:rsidRPr="007A78F1">
        <w:t xml:space="preserve">created </w:t>
      </w:r>
      <w:r w:rsidR="00EC4219" w:rsidRPr="007A78F1">
        <w:t xml:space="preserve">to further discuss </w:t>
      </w:r>
      <w:r w:rsidR="00CA4A83">
        <w:t>the open</w:t>
      </w:r>
      <w:r w:rsidR="00EC4219" w:rsidRPr="007A78F1">
        <w:t xml:space="preserve"> issues related to intra-band contiguous and non-</w:t>
      </w:r>
      <w:r w:rsidR="00EC4219" w:rsidRPr="001B69A3">
        <w:t>contiguous CA with a single cell activated</w:t>
      </w:r>
      <w:r w:rsidRPr="001B69A3">
        <w:t xml:space="preserve"> [</w:t>
      </w:r>
      <w:r w:rsidR="00444248">
        <w:t>2</w:t>
      </w:r>
      <w:r w:rsidR="00B32FB9" w:rsidRPr="001B69A3">
        <w:t>]</w:t>
      </w:r>
      <w:r w:rsidR="00CA3F9E" w:rsidRPr="001B69A3">
        <w:rPr>
          <w:b/>
          <w:bCs/>
        </w:rPr>
        <w:t xml:space="preserve">. </w:t>
      </w:r>
    </w:p>
    <w:p w14:paraId="6CE46DAE" w14:textId="253D6D46" w:rsidR="001B69A3" w:rsidRDefault="00951ED2" w:rsidP="001B69A3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CB8B7F0" wp14:editId="2EC61CBB">
                <wp:simplePos x="0" y="0"/>
                <wp:positionH relativeFrom="column">
                  <wp:posOffset>-167364</wp:posOffset>
                </wp:positionH>
                <wp:positionV relativeFrom="paragraph">
                  <wp:posOffset>605311</wp:posOffset>
                </wp:positionV>
                <wp:extent cx="6719977" cy="4787660"/>
                <wp:effectExtent l="0" t="0" r="24130" b="13335"/>
                <wp:wrapNone/>
                <wp:docPr id="3578917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9977" cy="47876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EF64E" id="Rectangle 1" o:spid="_x0000_s1026" style="position:absolute;margin-left:-13.2pt;margin-top:47.65pt;width:529.15pt;height:37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" filled="f" strokecolor="black [3213]" strokeweight="1pt"/>
            </w:pict>
          </mc:Fallback>
        </mc:AlternateContent>
      </w:r>
      <w:r w:rsidR="001B69A3" w:rsidRPr="001B69A3">
        <w:t xml:space="preserve">It was agreed in </w:t>
      </w:r>
      <w:r w:rsidR="00754686" w:rsidRPr="007A78F1">
        <w:t>RAN4#11</w:t>
      </w:r>
      <w:r w:rsidR="00754686">
        <w:t xml:space="preserve">2-bis </w:t>
      </w:r>
      <w:r w:rsidR="001B69A3" w:rsidRPr="001B69A3">
        <w:t>that</w:t>
      </w:r>
      <w:r w:rsidR="00D0556D">
        <w:t xml:space="preserve"> for FR1</w:t>
      </w:r>
      <w:r w:rsidR="001B69A3" w:rsidRPr="001B69A3">
        <w:t xml:space="preserve"> there will be no LO retuning for either contiguous or non-contiguous ULCA where only 1 CC is activated [</w:t>
      </w:r>
      <w:r w:rsidR="00444248">
        <w:t>1</w:t>
      </w:r>
      <w:r w:rsidR="001B69A3" w:rsidRPr="001B69A3">
        <w:t>]</w:t>
      </w:r>
      <w:r w:rsidR="003B7E11">
        <w:t xml:space="preserve"> as captured below:</w:t>
      </w:r>
      <w:r w:rsidR="003B7E11">
        <w:br/>
      </w:r>
      <w:r w:rsidR="003B7E11">
        <w:br/>
      </w:r>
    </w:p>
    <w:p w14:paraId="060503F2" w14:textId="77777777" w:rsidR="00D42C77" w:rsidRPr="00D42C77" w:rsidRDefault="00D42C77" w:rsidP="00D42C77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D42C77">
        <w:rPr>
          <w:rFonts w:eastAsia="Times New Roman"/>
          <w:b/>
          <w:color w:val="000000" w:themeColor="text1"/>
          <w:u w:val="single"/>
          <w:lang w:val="en-US" w:eastAsia="ko-KR"/>
        </w:rPr>
        <w:t>Issue 2-1-4: Whether UL interruption is allowed for intra-band contiguous CA with single activated cell</w:t>
      </w:r>
    </w:p>
    <w:p w14:paraId="097511B1" w14:textId="77777777" w:rsidR="00D42C77" w:rsidRPr="00D42C77" w:rsidRDefault="00D42C77" w:rsidP="00D42C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Times New Roman"/>
          <w:color w:val="000000" w:themeColor="text1"/>
          <w:szCs w:val="24"/>
          <w:lang w:eastAsia="zh-CN"/>
        </w:rPr>
      </w:pPr>
      <w:r w:rsidRPr="00D42C77">
        <w:rPr>
          <w:rFonts w:eastAsia="SimSun"/>
          <w:color w:val="000000" w:themeColor="text1"/>
          <w:szCs w:val="24"/>
          <w:lang w:eastAsia="zh-CN"/>
        </w:rPr>
        <w:t>Proposals</w:t>
      </w:r>
    </w:p>
    <w:p w14:paraId="6B345E4F" w14:textId="77777777" w:rsidR="00D42C77" w:rsidRPr="00D3602A" w:rsidRDefault="00D42C77" w:rsidP="00D42C7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D3602A">
        <w:rPr>
          <w:rFonts w:eastAsia="SimSun"/>
          <w:color w:val="000000" w:themeColor="text1"/>
          <w:szCs w:val="24"/>
          <w:highlight w:val="yellow"/>
          <w:lang w:eastAsia="zh-CN"/>
        </w:rPr>
        <w:t xml:space="preserve">Proposal 1: No interruptions are allowed for enabling single carrier MPR for the case when only one CC is activated in intra-band contiguous UL CA. </w:t>
      </w:r>
    </w:p>
    <w:p w14:paraId="5312E094" w14:textId="77777777" w:rsidR="00D42C77" w:rsidRPr="00D42C77" w:rsidRDefault="00D42C77" w:rsidP="00D42C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42C77">
        <w:rPr>
          <w:rFonts w:eastAsia="SimSun"/>
          <w:color w:val="000000" w:themeColor="text1"/>
          <w:szCs w:val="24"/>
          <w:lang w:eastAsia="zh-CN"/>
        </w:rPr>
        <w:t>Agreement in AH</w:t>
      </w:r>
    </w:p>
    <w:p w14:paraId="163E6C8E" w14:textId="77777777" w:rsidR="00D42C77" w:rsidRPr="00D3602A" w:rsidRDefault="00D42C77" w:rsidP="00D42C7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D3602A">
        <w:rPr>
          <w:rFonts w:eastAsia="SimSun"/>
          <w:color w:val="000000" w:themeColor="text1"/>
          <w:szCs w:val="24"/>
          <w:highlight w:val="yellow"/>
          <w:lang w:eastAsia="zh-CN"/>
        </w:rPr>
        <w:t>Proposal 1</w:t>
      </w:r>
    </w:p>
    <w:p w14:paraId="6B99CAC6" w14:textId="77777777" w:rsidR="00D42C77" w:rsidRDefault="00D42C77" w:rsidP="001B69A3"/>
    <w:p w14:paraId="182A1F93" w14:textId="77777777" w:rsidR="00951ED2" w:rsidRPr="00951ED2" w:rsidRDefault="00951ED2" w:rsidP="00951ED2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951ED2">
        <w:rPr>
          <w:rFonts w:eastAsia="Times New Roman"/>
          <w:b/>
          <w:color w:val="000000" w:themeColor="text1"/>
          <w:u w:val="single"/>
          <w:lang w:val="en-US" w:eastAsia="ko-KR"/>
        </w:rPr>
        <w:t>Issue 2-2-1: Applicable MPR for FR1 intra-band non-contiguous UL CA</w:t>
      </w:r>
    </w:p>
    <w:p w14:paraId="2309F69D" w14:textId="77777777" w:rsidR="00951ED2" w:rsidRPr="00951ED2" w:rsidRDefault="00951ED2" w:rsidP="00951E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0"/>
        <w:ind w:left="714" w:hanging="357"/>
        <w:textAlignment w:val="baseline"/>
        <w:rPr>
          <w:rFonts w:eastAsia="Times New Roma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Proposals </w:t>
      </w:r>
    </w:p>
    <w:p w14:paraId="50469EF4" w14:textId="77777777" w:rsidR="00951ED2" w:rsidRPr="00951ED2" w:rsidRDefault="00951ED2" w:rsidP="00951ED2">
      <w:pPr>
        <w:spacing w:beforeLines="50" w:before="120" w:afterLines="50" w:after="120"/>
        <w:ind w:left="357"/>
        <w:rPr>
          <w:color w:val="000000" w:themeColor="text1"/>
          <w:szCs w:val="24"/>
          <w:lang w:eastAsia="zh-CN"/>
        </w:rPr>
      </w:pPr>
      <w:r w:rsidRPr="00951ED2">
        <w:rPr>
          <w:rFonts w:hint="eastAsia"/>
          <w:b/>
          <w:color w:val="000000" w:themeColor="text1"/>
          <w:szCs w:val="24"/>
          <w:lang w:eastAsia="zh-CN"/>
        </w:rPr>
        <w:t>O</w:t>
      </w:r>
      <w:r w:rsidRPr="00951ED2">
        <w:rPr>
          <w:b/>
          <w:color w:val="000000" w:themeColor="text1"/>
          <w:szCs w:val="24"/>
          <w:lang w:eastAsia="zh-CN"/>
        </w:rPr>
        <w:t>ption 1</w:t>
      </w:r>
      <w:r w:rsidRPr="00951ED2">
        <w:rPr>
          <w:color w:val="000000" w:themeColor="text1"/>
          <w:szCs w:val="24"/>
          <w:lang w:eastAsia="zh-CN"/>
        </w:rPr>
        <w:t xml:space="preserve">: No spec impact </w:t>
      </w:r>
      <w:r w:rsidRPr="00951ED2">
        <w:rPr>
          <w:rFonts w:hint="eastAsia"/>
          <w:color w:val="000000" w:themeColor="text1"/>
          <w:szCs w:val="24"/>
          <w:lang w:eastAsia="zh-CN"/>
        </w:rPr>
        <w:t>o</w:t>
      </w:r>
      <w:r w:rsidRPr="00951ED2">
        <w:rPr>
          <w:color w:val="000000" w:themeColor="text1"/>
          <w:szCs w:val="24"/>
          <w:lang w:eastAsia="zh-CN"/>
        </w:rPr>
        <w:t>r minimum spec impact with some clarification but no changes of requirements</w:t>
      </w:r>
    </w:p>
    <w:p w14:paraId="404CE024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Proposal 1: for PC3 and PC2 intra-band non-contiguous CA as the standard already accounts for the use of the single CC MPR tables when only 1 CC is scheduled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no further changes to the standard are required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. </w:t>
      </w:r>
    </w:p>
    <w:p w14:paraId="603F9553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 w:hint="eastAsia"/>
          <w:color w:val="000000" w:themeColor="text1"/>
          <w:szCs w:val="24"/>
          <w:lang w:eastAsia="zh-CN"/>
        </w:rPr>
        <w:t>P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roposal 2: </w:t>
      </w:r>
      <w:r w:rsidRPr="00951ED2">
        <w:rPr>
          <w:rFonts w:eastAsia="SimSun"/>
          <w:color w:val="000000" w:themeColor="text1"/>
          <w:sz w:val="22"/>
          <w:lang w:eastAsia="en-GB"/>
        </w:rPr>
        <w:t xml:space="preserve">adding 1CC activation as a supplementary scenario in the spec but no changes of the requirements </w:t>
      </w:r>
    </w:p>
    <w:p w14:paraId="02507F9A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Proposal 3: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single CC MPR applied with single CC emission requirements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: </w:t>
      </w:r>
    </w:p>
    <w:p w14:paraId="653BE061" w14:textId="77777777" w:rsidR="00951ED2" w:rsidRPr="00951ED2" w:rsidRDefault="00951ED2" w:rsidP="00951ED2">
      <w:pPr>
        <w:spacing w:beforeLines="50" w:before="120" w:afterLines="50" w:after="120"/>
        <w:ind w:left="357"/>
        <w:rPr>
          <w:color w:val="000000" w:themeColor="text1"/>
          <w:szCs w:val="24"/>
          <w:lang w:eastAsia="zh-CN"/>
        </w:rPr>
      </w:pPr>
      <w:r w:rsidRPr="00951ED2">
        <w:rPr>
          <w:rFonts w:hint="eastAsia"/>
          <w:b/>
          <w:color w:val="000000" w:themeColor="text1"/>
          <w:szCs w:val="24"/>
          <w:lang w:eastAsia="zh-CN"/>
        </w:rPr>
        <w:t>O</w:t>
      </w:r>
      <w:r w:rsidRPr="00951ED2">
        <w:rPr>
          <w:b/>
          <w:color w:val="000000" w:themeColor="text1"/>
          <w:szCs w:val="24"/>
          <w:lang w:eastAsia="zh-CN"/>
        </w:rPr>
        <w:t>ption 2</w:t>
      </w:r>
      <w:r w:rsidRPr="00951ED2">
        <w:rPr>
          <w:color w:val="000000" w:themeColor="text1"/>
          <w:szCs w:val="24"/>
          <w:lang w:eastAsia="zh-CN"/>
        </w:rPr>
        <w:t>: Si</w:t>
      </w:r>
      <w:r w:rsidRPr="00951ED2">
        <w:rPr>
          <w:rFonts w:hint="eastAsia"/>
          <w:color w:val="000000" w:themeColor="text1"/>
          <w:szCs w:val="24"/>
          <w:lang w:eastAsia="zh-CN"/>
        </w:rPr>
        <w:t>ngle</w:t>
      </w:r>
      <w:r w:rsidRPr="00951ED2">
        <w:rPr>
          <w:color w:val="000000" w:themeColor="text1"/>
          <w:szCs w:val="24"/>
          <w:lang w:eastAsia="zh-CN"/>
        </w:rPr>
        <w:t xml:space="preserve"> </w:t>
      </w:r>
      <w:r w:rsidRPr="00951ED2">
        <w:rPr>
          <w:rFonts w:hint="eastAsia"/>
          <w:color w:val="000000" w:themeColor="text1"/>
          <w:szCs w:val="24"/>
          <w:lang w:eastAsia="zh-CN"/>
        </w:rPr>
        <w:t>CC</w:t>
      </w:r>
      <w:r w:rsidRPr="00951ED2">
        <w:rPr>
          <w:color w:val="000000" w:themeColor="text1"/>
          <w:szCs w:val="24"/>
          <w:lang w:eastAsia="zh-CN"/>
        </w:rPr>
        <w:t xml:space="preserve"> MPR/SEM applied on indication of </w:t>
      </w:r>
      <w:proofErr w:type="spellStart"/>
      <w:r w:rsidRPr="00951ED2">
        <w:rPr>
          <w:color w:val="000000" w:themeColor="text1"/>
          <w:szCs w:val="24"/>
          <w:lang w:eastAsia="zh-CN"/>
        </w:rPr>
        <w:t>dualPA</w:t>
      </w:r>
      <w:proofErr w:type="spellEnd"/>
      <w:r w:rsidRPr="00951ED2">
        <w:rPr>
          <w:color w:val="000000" w:themeColor="text1"/>
          <w:szCs w:val="24"/>
          <w:lang w:eastAsia="zh-CN"/>
        </w:rPr>
        <w:t xml:space="preserve"> IE</w:t>
      </w:r>
    </w:p>
    <w:p w14:paraId="451BD43D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 w:hint="eastAsia"/>
          <w:color w:val="000000" w:themeColor="text1"/>
          <w:szCs w:val="24"/>
          <w:lang w:eastAsia="zh-CN"/>
        </w:rPr>
        <w:t>P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roposal 4: To apply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 xml:space="preserve">non-CA (single CC) MPR based on indication of </w:t>
      </w:r>
      <w:proofErr w:type="spellStart"/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dualPA</w:t>
      </w:r>
      <w:proofErr w:type="spellEnd"/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 xml:space="preserve"> IE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57AA0153" w14:textId="32587644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 w:hint="eastAsia"/>
          <w:color w:val="000000" w:themeColor="text1"/>
          <w:szCs w:val="24"/>
          <w:lang w:eastAsia="zh-CN"/>
        </w:rPr>
        <w:t>P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roposal 5: After the initial configuration of non-contiguous ULCA, upon SCELL deactivation with only 1CC active,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the applied SEM mask should be the composite SEM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 of the 2CCs as stated in sub-</w:t>
      </w:r>
      <w:r>
        <w:rPr>
          <w:rFonts w:eastAsia="SimSun"/>
          <w:noProof/>
          <w:color w:val="000000" w:themeColor="text1"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DD0D5C9" wp14:editId="7D4D8112">
                <wp:simplePos x="0" y="0"/>
                <wp:positionH relativeFrom="column">
                  <wp:posOffset>-158738</wp:posOffset>
                </wp:positionH>
                <wp:positionV relativeFrom="paragraph">
                  <wp:posOffset>-381575</wp:posOffset>
                </wp:positionV>
                <wp:extent cx="6711351" cy="3588589"/>
                <wp:effectExtent l="0" t="0" r="13335" b="12065"/>
                <wp:wrapNone/>
                <wp:docPr id="81505443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351" cy="358858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5F99E" id="Rectangle 2" o:spid="_x0000_s1026" style="position:absolute;margin-left:-12.5pt;margin-top:-30.05pt;width:528.45pt;height:282.5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" filled="f" strokecolor="#09101d [484]" strokeweight="1pt"/>
            </w:pict>
          </mc:Fallback>
        </mc:AlternateConten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clause 6.5A.2.2.2 in TS38.101-1. Further discuss to support the single CC SEM only if </w:t>
      </w:r>
      <w:proofErr w:type="spellStart"/>
      <w:r w:rsidRPr="00951ED2">
        <w:rPr>
          <w:rFonts w:eastAsia="SimSun"/>
          <w:color w:val="000000" w:themeColor="text1"/>
          <w:szCs w:val="24"/>
          <w:lang w:eastAsia="zh-CN"/>
        </w:rPr>
        <w:t>dualPA</w:t>
      </w:r>
      <w:proofErr w:type="spellEnd"/>
      <w:r w:rsidRPr="00951ED2">
        <w:rPr>
          <w:rFonts w:eastAsia="SimSun"/>
          <w:color w:val="000000" w:themeColor="text1"/>
          <w:szCs w:val="24"/>
          <w:lang w:eastAsia="zh-CN"/>
        </w:rPr>
        <w:t>-architecture is supported.</w:t>
      </w:r>
    </w:p>
    <w:p w14:paraId="3001ACD6" w14:textId="5A03123E" w:rsidR="00951ED2" w:rsidRPr="00951ED2" w:rsidRDefault="00951ED2" w:rsidP="00951ED2">
      <w:pPr>
        <w:spacing w:beforeLines="50" w:before="120" w:afterLines="50" w:after="120"/>
        <w:ind w:left="357"/>
        <w:rPr>
          <w:color w:val="000000" w:themeColor="text1"/>
          <w:szCs w:val="24"/>
          <w:lang w:eastAsia="zh-CN"/>
        </w:rPr>
      </w:pPr>
      <w:r w:rsidRPr="00951ED2">
        <w:rPr>
          <w:rFonts w:hint="eastAsia"/>
          <w:b/>
          <w:color w:val="000000" w:themeColor="text1"/>
          <w:szCs w:val="24"/>
          <w:lang w:eastAsia="zh-CN"/>
        </w:rPr>
        <w:t>O</w:t>
      </w:r>
      <w:r w:rsidRPr="00951ED2">
        <w:rPr>
          <w:b/>
          <w:color w:val="000000" w:themeColor="text1"/>
          <w:szCs w:val="24"/>
          <w:lang w:eastAsia="zh-CN"/>
        </w:rPr>
        <w:t>ption 3</w:t>
      </w:r>
      <w:r w:rsidRPr="00951ED2">
        <w:rPr>
          <w:color w:val="000000" w:themeColor="text1"/>
          <w:szCs w:val="24"/>
          <w:lang w:eastAsia="zh-CN"/>
        </w:rPr>
        <w:t xml:space="preserve">: Possible spec impact on LO retuning </w:t>
      </w:r>
    </w:p>
    <w:p w14:paraId="4B5065DC" w14:textId="7D12E6CB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>Proposal 6: Discuss</w:t>
      </w:r>
      <w:r w:rsidRPr="00951ED2">
        <w:rPr>
          <w:rFonts w:eastAsia="SimSun"/>
          <w:color w:val="000000" w:themeColor="text1"/>
          <w:lang w:eastAsia="zh-CN"/>
        </w:rPr>
        <w:t xml:space="preserve"> impact on requirements if LO needs to be re-configured to support single CC MPR. This discussion would be required for intra-band contiguous and non-contiguous carrier aggregation</w:t>
      </w:r>
    </w:p>
    <w:p w14:paraId="666073C6" w14:textId="62B3204A" w:rsidR="00951ED2" w:rsidRPr="00951ED2" w:rsidRDefault="00951ED2" w:rsidP="00951ED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color w:val="000000" w:themeColor="text1"/>
          <w:szCs w:val="24"/>
          <w:lang w:eastAsia="zh-CN"/>
        </w:rPr>
      </w:pPr>
    </w:p>
    <w:p w14:paraId="1D465E61" w14:textId="0678B378" w:rsidR="00951ED2" w:rsidRPr="00951ED2" w:rsidRDefault="00951ED2" w:rsidP="00951E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WF </w:t>
      </w:r>
    </w:p>
    <w:p w14:paraId="2F9F74D9" w14:textId="30E5F27C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>FFS on whether for PC2 and PC3, no MPR requirements to be changed</w:t>
      </w:r>
      <w:r w:rsidRPr="00951ED2">
        <w:rPr>
          <w:rFonts w:eastAsia="Times New Roman"/>
          <w:color w:val="000000" w:themeColor="text1"/>
          <w:szCs w:val="24"/>
          <w:lang w:eastAsia="zh-CN"/>
        </w:rPr>
        <w:t>.</w:t>
      </w:r>
    </w:p>
    <w:p w14:paraId="135278DC" w14:textId="223F1A05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Times New Roman"/>
          <w:color w:val="000000" w:themeColor="text1"/>
          <w:szCs w:val="24"/>
          <w:lang w:eastAsia="zh-CN"/>
        </w:rPr>
        <w:t>FFS PC1.5 when NC CA requirements are available</w:t>
      </w:r>
    </w:p>
    <w:p w14:paraId="5DF34319" w14:textId="07A3270B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hint="eastAsia"/>
          <w:color w:val="000000" w:themeColor="text1"/>
          <w:szCs w:val="24"/>
          <w:lang w:eastAsia="zh-CN"/>
        </w:rPr>
        <w:t>F</w:t>
      </w:r>
      <w:r w:rsidRPr="00951ED2">
        <w:rPr>
          <w:color w:val="000000" w:themeColor="text1"/>
          <w:szCs w:val="24"/>
          <w:lang w:eastAsia="zh-CN"/>
        </w:rPr>
        <w:t>FS clarification for the applicable emission requirements whether they are single CC based or composite based</w:t>
      </w:r>
    </w:p>
    <w:p w14:paraId="5861F23E" w14:textId="5E25E9F6" w:rsidR="00951ED2" w:rsidRPr="00951ED2" w:rsidRDefault="00951ED2" w:rsidP="00951ED2">
      <w:pPr>
        <w:spacing w:after="120"/>
        <w:ind w:left="720"/>
        <w:rPr>
          <w:rFonts w:eastAsia="SimSun"/>
          <w:color w:val="000000" w:themeColor="text1"/>
          <w:szCs w:val="24"/>
          <w:lang w:eastAsia="zh-CN"/>
        </w:rPr>
      </w:pPr>
    </w:p>
    <w:p w14:paraId="40971E66" w14:textId="1EAB61B0" w:rsidR="00951ED2" w:rsidRPr="00951ED2" w:rsidRDefault="00951ED2" w:rsidP="00951ED2">
      <w:pPr>
        <w:spacing w:after="120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951ED2">
        <w:rPr>
          <w:rFonts w:eastAsia="SimSun"/>
          <w:color w:val="000000" w:themeColor="text1"/>
          <w:szCs w:val="24"/>
          <w:highlight w:val="green"/>
          <w:lang w:eastAsia="zh-CN"/>
        </w:rPr>
        <w:t>Agreement in main session</w:t>
      </w:r>
    </w:p>
    <w:p w14:paraId="0075FBC9" w14:textId="7E3D1338" w:rsidR="00951ED2" w:rsidRPr="00D3602A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color w:val="000000" w:themeColor="text1"/>
          <w:szCs w:val="24"/>
          <w:highlight w:val="yellow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D3602A">
        <w:rPr>
          <w:color w:val="000000" w:themeColor="text1"/>
          <w:szCs w:val="24"/>
          <w:highlight w:val="yellow"/>
          <w:lang w:eastAsia="zh-CN"/>
        </w:rPr>
        <w:t>Drop the discussion for LO retuning since it is out of WI scope</w:t>
      </w:r>
    </w:p>
    <w:p w14:paraId="3C5D256B" w14:textId="7ED38FBB" w:rsidR="00951ED2" w:rsidRPr="00A450E4" w:rsidRDefault="00951ED2" w:rsidP="00CA3F9E">
      <w:pPr>
        <w:pStyle w:val="ListParagraph"/>
        <w:numPr>
          <w:ilvl w:val="2"/>
          <w:numId w:val="2"/>
        </w:numPr>
        <w:rPr>
          <w:rFonts w:ascii="Times New Roman" w:eastAsiaTheme="minorEastAsia" w:hAnsi="Times New Roman"/>
          <w:color w:val="000000" w:themeColor="text1"/>
          <w:szCs w:val="24"/>
          <w:lang w:eastAsia="zh-CN"/>
        </w:rPr>
      </w:pPr>
      <w:r w:rsidRPr="00F93306">
        <w:rPr>
          <w:rFonts w:ascii="Times New Roman" w:eastAsiaTheme="minorEastAsia" w:hAnsi="Times New Roman" w:hint="eastAsia"/>
          <w:color w:val="000000" w:themeColor="text1"/>
          <w:szCs w:val="24"/>
          <w:lang w:eastAsia="zh-CN"/>
        </w:rPr>
        <w:t>F</w:t>
      </w:r>
      <w:r w:rsidRPr="00F93306">
        <w:rPr>
          <w:rFonts w:ascii="Times New Roman" w:eastAsiaTheme="minorEastAsia" w:hAnsi="Times New Roman"/>
          <w:color w:val="000000" w:themeColor="text1"/>
          <w:szCs w:val="24"/>
          <w:lang w:eastAsia="zh-CN"/>
        </w:rPr>
        <w:t>FS for FR2</w:t>
      </w:r>
    </w:p>
    <w:p w14:paraId="03ECF00D" w14:textId="0D85B46D" w:rsidR="00951ED2" w:rsidRDefault="00951ED2" w:rsidP="00CA3F9E">
      <w:pPr>
        <w:rPr>
          <w:b/>
          <w:bCs/>
        </w:rPr>
      </w:pPr>
    </w:p>
    <w:p w14:paraId="101D4002" w14:textId="0B2DEE86" w:rsidR="00A471BB" w:rsidRDefault="001B69A3" w:rsidP="00CA3F9E">
      <w:pPr>
        <w:rPr>
          <w:b/>
          <w:bCs/>
        </w:rPr>
      </w:pPr>
      <w:r w:rsidRPr="001B69A3">
        <w:rPr>
          <w:b/>
          <w:bCs/>
        </w:rPr>
        <w:t xml:space="preserve">Observation </w:t>
      </w:r>
      <w:r w:rsidR="0020782D">
        <w:rPr>
          <w:b/>
          <w:bCs/>
        </w:rPr>
        <w:t>#</w:t>
      </w:r>
      <w:r w:rsidRPr="001B69A3">
        <w:rPr>
          <w:b/>
          <w:bCs/>
        </w:rPr>
        <w:t xml:space="preserve">1: </w:t>
      </w:r>
      <w:r w:rsidR="00790B29">
        <w:rPr>
          <w:b/>
          <w:bCs/>
        </w:rPr>
        <w:t>F</w:t>
      </w:r>
      <w:r w:rsidR="00C61635">
        <w:rPr>
          <w:b/>
          <w:bCs/>
        </w:rPr>
        <w:t>or FR1 n</w:t>
      </w:r>
      <w:r w:rsidRPr="001B69A3">
        <w:rPr>
          <w:b/>
          <w:bCs/>
        </w:rPr>
        <w:t>o LO retuning for either contiguous or non-contiguous ULCA whe</w:t>
      </w:r>
      <w:r w:rsidR="002B7372">
        <w:rPr>
          <w:b/>
          <w:bCs/>
        </w:rPr>
        <w:t>n</w:t>
      </w:r>
      <w:r w:rsidRPr="001B69A3">
        <w:rPr>
          <w:b/>
          <w:bCs/>
        </w:rPr>
        <w:t xml:space="preserve"> only 1 CC is activated.</w:t>
      </w:r>
      <w:r w:rsidRPr="007A0298">
        <w:rPr>
          <w:b/>
          <w:bCs/>
          <w:vertAlign w:val="subscript"/>
        </w:rPr>
        <w:t xml:space="preserve"> </w:t>
      </w:r>
    </w:p>
    <w:p w14:paraId="3E2519D5" w14:textId="6655D01F" w:rsidR="000D36C5" w:rsidRDefault="000D36C5" w:rsidP="000D36C5">
      <w:pPr>
        <w:rPr>
          <w:b/>
          <w:bCs/>
        </w:rPr>
      </w:pPr>
      <w:r w:rsidRPr="007A78F1">
        <w:t>In RAN4#11</w:t>
      </w:r>
      <w:r>
        <w:t>3</w:t>
      </w:r>
      <w:r w:rsidRPr="007A78F1">
        <w:t xml:space="preserve"> a WF was created to further discuss </w:t>
      </w:r>
      <w:r>
        <w:t>the open</w:t>
      </w:r>
      <w:r w:rsidRPr="007A78F1">
        <w:t xml:space="preserve"> issues related to intra-band contiguous and non-</w:t>
      </w:r>
      <w:r w:rsidRPr="001B69A3">
        <w:t>contiguous CA with a single cell activated [</w:t>
      </w:r>
      <w:r>
        <w:t>2</w:t>
      </w:r>
      <w:r w:rsidRPr="001B69A3">
        <w:t>]</w:t>
      </w:r>
      <w:r w:rsidRPr="001B69A3">
        <w:rPr>
          <w:b/>
          <w:bCs/>
        </w:rPr>
        <w:t xml:space="preserve">. </w:t>
      </w:r>
    </w:p>
    <w:p w14:paraId="5E6356CA" w14:textId="28071DCF" w:rsidR="003261EC" w:rsidRPr="001B69A3" w:rsidRDefault="003261EC" w:rsidP="000D36C5">
      <w:pPr>
        <w:rPr>
          <w:b/>
          <w:bCs/>
        </w:rPr>
      </w:pPr>
      <w:r>
        <w:rPr>
          <w:rFonts w:eastAsia="SimSun"/>
          <w:noProof/>
          <w:color w:val="000000" w:themeColor="text1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65E307E5" wp14:editId="039C315F">
                <wp:simplePos x="0" y="0"/>
                <wp:positionH relativeFrom="column">
                  <wp:posOffset>-157480</wp:posOffset>
                </wp:positionH>
                <wp:positionV relativeFrom="paragraph">
                  <wp:posOffset>133350</wp:posOffset>
                </wp:positionV>
                <wp:extent cx="6711351" cy="1676400"/>
                <wp:effectExtent l="0" t="0" r="13335" b="19050"/>
                <wp:wrapNone/>
                <wp:docPr id="196705365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351" cy="1676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384BB" id="Rectangle 2" o:spid="_x0000_s1026" style="position:absolute;margin-left:-12.4pt;margin-top:10.5pt;width:528.45pt;height:132pt;z-index:25166029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" filled="f" strokecolor="#09101d [484]" strokeweight="1pt"/>
            </w:pict>
          </mc:Fallback>
        </mc:AlternateContent>
      </w:r>
    </w:p>
    <w:p w14:paraId="05369E58" w14:textId="7DCAE7B1" w:rsidR="003261EC" w:rsidRPr="003261EC" w:rsidRDefault="003261EC" w:rsidP="003261EC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/>
          <w:u w:val="single"/>
          <w:lang w:val="en-US" w:eastAsia="ko-KR"/>
        </w:rPr>
      </w:pPr>
      <w:r w:rsidRPr="003261EC">
        <w:rPr>
          <w:rFonts w:eastAsia="Times New Roman"/>
          <w:b/>
          <w:color w:val="000000"/>
          <w:u w:val="single"/>
          <w:lang w:val="en-US" w:eastAsia="ko-KR"/>
        </w:rPr>
        <w:t>Issue 2-2-1: Applicable MPR and corresponding spectrum requirements for PC2/PC3 intra-band NC CA</w:t>
      </w:r>
    </w:p>
    <w:p w14:paraId="1B65469A" w14:textId="0123BA3E" w:rsidR="003261EC" w:rsidRPr="003261EC" w:rsidRDefault="003261EC" w:rsidP="003261EC">
      <w:pPr>
        <w:overflowPunct w:val="0"/>
        <w:autoSpaceDE w:val="0"/>
        <w:autoSpaceDN w:val="0"/>
        <w:adjustRightInd w:val="0"/>
        <w:spacing w:beforeLines="50" w:before="120" w:after="60"/>
        <w:jc w:val="both"/>
        <w:textAlignment w:val="baseline"/>
        <w:rPr>
          <w:rFonts w:eastAsia="Times New Roman"/>
          <w:iCs/>
          <w:color w:val="000000"/>
          <w:highlight w:val="green"/>
          <w:lang w:val="en-US" w:eastAsia="zh-CN"/>
        </w:rPr>
      </w:pPr>
      <w:r w:rsidRPr="003261EC">
        <w:rPr>
          <w:rFonts w:eastAsia="Times New Roman" w:hint="eastAsia"/>
          <w:b/>
          <w:bCs/>
          <w:color w:val="000000"/>
          <w:szCs w:val="24"/>
          <w:highlight w:val="green"/>
          <w:lang w:eastAsia="zh-CN"/>
        </w:rPr>
        <w:t>A</w:t>
      </w:r>
      <w:r w:rsidRPr="003261EC">
        <w:rPr>
          <w:rFonts w:eastAsia="Times New Roman"/>
          <w:b/>
          <w:bCs/>
          <w:color w:val="000000"/>
          <w:szCs w:val="24"/>
          <w:highlight w:val="green"/>
          <w:lang w:eastAsia="zh-CN"/>
        </w:rPr>
        <w:t>greement in main session:</w:t>
      </w:r>
    </w:p>
    <w:p w14:paraId="17523101" w14:textId="4BE44E02" w:rsidR="003261EC" w:rsidRPr="003261EC" w:rsidRDefault="003261EC" w:rsidP="003261EC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DengXian"/>
          <w:color w:val="000000"/>
          <w:lang w:eastAsia="en-GB"/>
        </w:rPr>
      </w:pPr>
      <w:r w:rsidRPr="003261EC">
        <w:rPr>
          <w:rFonts w:eastAsia="DengXian"/>
          <w:color w:val="000000"/>
          <w:lang w:eastAsia="en-GB"/>
        </w:rPr>
        <w:t xml:space="preserve">No change of applicable MPR requirement in current spec but with clarification that applicable emission requirements are composite based regardless of </w:t>
      </w:r>
      <w:proofErr w:type="spellStart"/>
      <w:r w:rsidRPr="003261EC">
        <w:rPr>
          <w:rFonts w:eastAsia="DengXian"/>
          <w:color w:val="000000"/>
          <w:lang w:eastAsia="en-GB"/>
        </w:rPr>
        <w:t>dualPA</w:t>
      </w:r>
      <w:proofErr w:type="spellEnd"/>
      <w:r w:rsidRPr="003261EC">
        <w:rPr>
          <w:rFonts w:eastAsia="DengXian"/>
          <w:color w:val="000000"/>
          <w:lang w:eastAsia="en-GB"/>
        </w:rPr>
        <w:t xml:space="preserve"> IE indication.</w:t>
      </w:r>
    </w:p>
    <w:p w14:paraId="472EA989" w14:textId="04294DAA" w:rsidR="003261EC" w:rsidRPr="003261EC" w:rsidRDefault="003261EC" w:rsidP="003261EC">
      <w:pPr>
        <w:numPr>
          <w:ilvl w:val="1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DengXian"/>
          <w:color w:val="000000"/>
          <w:highlight w:val="yellow"/>
          <w:lang w:eastAsia="en-GB"/>
        </w:rPr>
      </w:pPr>
      <w:r w:rsidRPr="003261EC">
        <w:rPr>
          <w:rFonts w:eastAsia="DengXian"/>
          <w:color w:val="000000"/>
          <w:highlight w:val="yellow"/>
          <w:lang w:eastAsia="en-GB"/>
        </w:rPr>
        <w:t>FFS on whether update MPR for Single CC Fallback from Non-contiguous ULCA without dual PA support depending on UE capability.</w:t>
      </w:r>
    </w:p>
    <w:p w14:paraId="642AD31F" w14:textId="1DA158C4" w:rsidR="003261EC" w:rsidRPr="003261EC" w:rsidRDefault="003261EC" w:rsidP="003261EC">
      <w:pPr>
        <w:numPr>
          <w:ilvl w:val="1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DengXian"/>
          <w:color w:val="000000"/>
          <w:lang w:eastAsia="en-GB"/>
        </w:rPr>
      </w:pPr>
      <w:r w:rsidRPr="003261EC">
        <w:rPr>
          <w:rFonts w:eastAsia="DengXian" w:hint="eastAsia"/>
          <w:color w:val="000000"/>
          <w:lang w:eastAsia="zh-CN"/>
        </w:rPr>
        <w:t>N</w:t>
      </w:r>
      <w:r w:rsidRPr="003261EC">
        <w:rPr>
          <w:rFonts w:eastAsia="DengXian"/>
          <w:color w:val="000000"/>
          <w:lang w:eastAsia="zh-CN"/>
        </w:rPr>
        <w:t xml:space="preserve">ote: </w:t>
      </w:r>
      <w:r w:rsidRPr="003261EC">
        <w:rPr>
          <w:rFonts w:eastAsia="DengXian"/>
          <w:color w:val="000000"/>
          <w:lang w:eastAsia="en-GB"/>
        </w:rPr>
        <w:t xml:space="preserve">Composite emissions </w:t>
      </w:r>
      <w:proofErr w:type="gramStart"/>
      <w:r w:rsidRPr="003261EC">
        <w:rPr>
          <w:rFonts w:eastAsia="DengXian"/>
          <w:color w:val="000000"/>
          <w:lang w:eastAsia="en-GB"/>
        </w:rPr>
        <w:t>means</w:t>
      </w:r>
      <w:proofErr w:type="gramEnd"/>
      <w:r w:rsidRPr="003261EC">
        <w:rPr>
          <w:rFonts w:eastAsia="DengXian"/>
          <w:color w:val="000000"/>
          <w:lang w:eastAsia="zh-CN"/>
        </w:rPr>
        <w:t xml:space="preserve"> </w:t>
      </w:r>
      <w:r w:rsidRPr="003261EC">
        <w:rPr>
          <w:rFonts w:eastAsia="Times New Roman"/>
          <w:lang w:eastAsia="zh-CN"/>
        </w:rPr>
        <w:t>combination of individual sub-block emissions.</w:t>
      </w:r>
    </w:p>
    <w:p w14:paraId="187BD998" w14:textId="77777777" w:rsidR="000D36C5" w:rsidRDefault="000D36C5" w:rsidP="002D5F98">
      <w:pPr>
        <w:rPr>
          <w:rFonts w:eastAsia="Times New Roman"/>
          <w:szCs w:val="24"/>
          <w:lang w:eastAsia="zh-CN"/>
        </w:rPr>
      </w:pPr>
    </w:p>
    <w:p w14:paraId="4EAF8243" w14:textId="6939E90C" w:rsidR="000D36C5" w:rsidRDefault="00660FA2" w:rsidP="002D5F98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In our opinion </w:t>
      </w:r>
      <w:r w:rsidR="0028786E">
        <w:rPr>
          <w:rFonts w:eastAsia="Times New Roman"/>
          <w:szCs w:val="24"/>
          <w:lang w:eastAsia="zh-CN"/>
        </w:rPr>
        <w:t xml:space="preserve">for </w:t>
      </w:r>
      <w:proofErr w:type="gramStart"/>
      <w:r w:rsidR="0028786E">
        <w:rPr>
          <w:rFonts w:eastAsia="Times New Roman"/>
          <w:szCs w:val="24"/>
          <w:lang w:eastAsia="zh-CN"/>
        </w:rPr>
        <w:t>NC CA</w:t>
      </w:r>
      <w:proofErr w:type="gramEnd"/>
      <w:r w:rsidR="0028786E">
        <w:rPr>
          <w:rFonts w:eastAsia="Times New Roman"/>
          <w:szCs w:val="24"/>
          <w:lang w:eastAsia="zh-CN"/>
        </w:rPr>
        <w:t xml:space="preserve"> it has already been agreed that LO retuning is </w:t>
      </w:r>
      <w:r w:rsidR="00F911CA">
        <w:rPr>
          <w:rFonts w:eastAsia="Times New Roman"/>
          <w:szCs w:val="24"/>
          <w:lang w:eastAsia="zh-CN"/>
        </w:rPr>
        <w:t>not considered in this WI</w:t>
      </w:r>
      <w:r w:rsidR="0063075E">
        <w:rPr>
          <w:rFonts w:eastAsia="Times New Roman"/>
          <w:szCs w:val="24"/>
          <w:lang w:eastAsia="zh-CN"/>
        </w:rPr>
        <w:t>.</w:t>
      </w:r>
      <w:r w:rsidR="001429C9" w:rsidRPr="001429C9">
        <w:t xml:space="preserve"> </w:t>
      </w:r>
      <w:r w:rsidR="001429C9">
        <w:t xml:space="preserve">The applicable MPR for intra-band non-contiguous UL CA when only 1 CC is activated was left for further discussion </w:t>
      </w:r>
      <w:r w:rsidR="009B0DA5">
        <w:t xml:space="preserve">in the WF created in RAN4#113 </w:t>
      </w:r>
      <w:r w:rsidR="001429C9">
        <w:t>[</w:t>
      </w:r>
      <w:r w:rsidR="003D5186">
        <w:t>2</w:t>
      </w:r>
      <w:r w:rsidR="001429C9">
        <w:t>]. From [</w:t>
      </w:r>
      <w:r w:rsidR="003D5186">
        <w:t>3</w:t>
      </w:r>
      <w:r w:rsidR="001429C9">
        <w:t>] we see that according to section 6.2A.2.2.0 the following is mentioned for UEs indicating and not indicating dual</w:t>
      </w:r>
      <w:r w:rsidR="009B0DA5">
        <w:t xml:space="preserve"> </w:t>
      </w:r>
      <w:r w:rsidR="001429C9">
        <w:t>PA-</w:t>
      </w:r>
      <w:r w:rsidR="009B0DA5">
        <w:t>Architecture</w:t>
      </w:r>
      <w:r w:rsidR="009B0DA5">
        <w:rPr>
          <w:rFonts w:eastAsia="Times New Roman"/>
          <w:szCs w:val="24"/>
          <w:lang w:eastAsia="zh-CN"/>
        </w:rPr>
        <w:t>:</w:t>
      </w:r>
    </w:p>
    <w:p w14:paraId="4353A0F3" w14:textId="340F553B" w:rsidR="002D7E19" w:rsidRDefault="0053028D" w:rsidP="002D5F98">
      <w:pPr>
        <w:rPr>
          <w:rFonts w:eastAsia="Times New Roman"/>
          <w:szCs w:val="24"/>
          <w:lang w:eastAsia="zh-CN"/>
        </w:rPr>
      </w:pPr>
      <w:r>
        <w:rPr>
          <w:rFonts w:eastAsia="SimSun"/>
          <w:noProof/>
          <w:color w:val="000000" w:themeColor="text1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4387" behindDoc="0" locked="0" layoutInCell="1" allowOverlap="1" wp14:anchorId="60E5E82D" wp14:editId="19242534">
                <wp:simplePos x="0" y="0"/>
                <wp:positionH relativeFrom="column">
                  <wp:posOffset>-243205</wp:posOffset>
                </wp:positionH>
                <wp:positionV relativeFrom="paragraph">
                  <wp:posOffset>250825</wp:posOffset>
                </wp:positionV>
                <wp:extent cx="6711351" cy="2305050"/>
                <wp:effectExtent l="0" t="0" r="13335" b="19050"/>
                <wp:wrapNone/>
                <wp:docPr id="113534114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351" cy="2305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C502A" id="Rectangle 2" o:spid="_x0000_s1026" style="position:absolute;margin-left:-19.15pt;margin-top:19.75pt;width:528.45pt;height:181.5pt;z-index:2516643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" filled="f" strokecolor="#09101d [484]" strokeweight="1pt"/>
            </w:pict>
          </mc:Fallback>
        </mc:AlternateContent>
      </w:r>
    </w:p>
    <w:p w14:paraId="1D604C9D" w14:textId="04855142" w:rsidR="0053028D" w:rsidRPr="00A1115A" w:rsidRDefault="0053028D" w:rsidP="0053028D">
      <w:pPr>
        <w:pStyle w:val="Heading4"/>
      </w:pPr>
      <w:r w:rsidRPr="00A1115A">
        <w:t>6.2A.2.2</w:t>
      </w:r>
      <w:r w:rsidRPr="00A1115A">
        <w:tab/>
        <w:t>UE maximum output power reduction for Intra-band non-contiguous CA</w:t>
      </w:r>
    </w:p>
    <w:p w14:paraId="1267DB62" w14:textId="1F10AD8E" w:rsidR="0053028D" w:rsidRDefault="0053028D" w:rsidP="0053028D">
      <w:pPr>
        <w:pStyle w:val="Heading5"/>
        <w:rPr>
          <w:lang w:eastAsia="zh-CN"/>
        </w:rPr>
      </w:pPr>
      <w:r w:rsidRPr="00A1115A">
        <w:rPr>
          <w:rFonts w:hint="eastAsia"/>
          <w:lang w:eastAsia="zh-CN"/>
        </w:rPr>
        <w:t>6.</w:t>
      </w:r>
      <w:r w:rsidRPr="00A1115A">
        <w:rPr>
          <w:lang w:eastAsia="zh-CN"/>
        </w:rPr>
        <w:t>2A</w:t>
      </w:r>
      <w:r>
        <w:rPr>
          <w:lang w:eastAsia="zh-CN"/>
        </w:rPr>
        <w:t>.2.2.0</w:t>
      </w:r>
      <w:r w:rsidRPr="00A1115A">
        <w:rPr>
          <w:lang w:eastAsia="zh-CN"/>
        </w:rPr>
        <w:tab/>
      </w:r>
      <w:r>
        <w:rPr>
          <w:lang w:eastAsia="zh-CN"/>
        </w:rPr>
        <w:t>General</w:t>
      </w:r>
    </w:p>
    <w:p w14:paraId="355808DB" w14:textId="77777777" w:rsidR="0053028D" w:rsidRDefault="0053028D" w:rsidP="0053028D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A1115A">
        <w:rPr>
          <w:lang w:eastAsia="zh-CN"/>
        </w:rPr>
        <w:t>MHz.</w:t>
      </w:r>
      <w:proofErr w:type="spellEnd"/>
      <w:r w:rsidRPr="00A1115A">
        <w:rPr>
          <w:lang w:eastAsia="zh-CN"/>
        </w:rPr>
        <w:t xml:space="preserve"> The UE </w:t>
      </w:r>
      <w:proofErr w:type="spellStart"/>
      <w:r w:rsidRPr="00A1115A">
        <w:rPr>
          <w:lang w:eastAsia="zh-CN"/>
        </w:rPr>
        <w:t>determins</w:t>
      </w:r>
      <w:proofErr w:type="spellEnd"/>
      <w:r w:rsidRPr="00A1115A">
        <w:rPr>
          <w:lang w:eastAsia="zh-CN"/>
        </w:rPr>
        <w:t xml:space="preserve"> the MPR type as follows:</w:t>
      </w:r>
    </w:p>
    <w:p w14:paraId="0D5893A0" w14:textId="77777777" w:rsidR="0053028D" w:rsidRDefault="0053028D" w:rsidP="0053028D">
      <w:pPr>
        <w:ind w:firstLine="284"/>
      </w:pPr>
      <w:r w:rsidRPr="0053028D">
        <w:rPr>
          <w:rFonts w:eastAsia="Yu Mincho"/>
          <w:lang w:val="en-US"/>
        </w:rPr>
        <w:t xml:space="preserve">For UE indicating </w:t>
      </w:r>
      <w:proofErr w:type="spellStart"/>
      <w:r w:rsidRPr="0053028D">
        <w:rPr>
          <w:i/>
        </w:rPr>
        <w:t>dualPA</w:t>
      </w:r>
      <w:proofErr w:type="spellEnd"/>
      <w:r w:rsidRPr="0053028D">
        <w:rPr>
          <w:i/>
        </w:rPr>
        <w:t xml:space="preserve">-Architecture </w:t>
      </w:r>
      <w:r w:rsidRPr="0053028D">
        <w:t>supported</w:t>
      </w:r>
    </w:p>
    <w:p w14:paraId="1A242157" w14:textId="77777777" w:rsidR="0053028D" w:rsidRPr="00293AF2" w:rsidRDefault="0053028D" w:rsidP="0053028D">
      <w:pPr>
        <w:spacing w:after="0"/>
        <w:ind w:left="568"/>
        <w:rPr>
          <w:rFonts w:eastAsia="Yu Mincho"/>
          <w:highlight w:val="yellow"/>
          <w:lang w:val="en-US"/>
        </w:rPr>
      </w:pPr>
      <w:r>
        <w:rPr>
          <w:rFonts w:eastAsia="Yu Mincho"/>
          <w:lang w:val="en-US"/>
        </w:rPr>
        <w:t>If OR</w:t>
      </w:r>
      <w:r w:rsidRPr="002E1676"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t>(</w:t>
      </w:r>
      <w:r w:rsidRPr="002E1676">
        <w:t>L</w:t>
      </w:r>
      <w:r w:rsidRPr="002E1676">
        <w:rPr>
          <w:vertAlign w:val="subscript"/>
        </w:rPr>
        <w:t xml:space="preserve">CRB1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>
        <w:rPr>
          <w:rFonts w:eastAsia="Yu Mincho"/>
          <w:lang w:val="en-US"/>
        </w:rPr>
        <w:t>)</w:t>
      </w:r>
    </w:p>
    <w:p w14:paraId="771FD3A1" w14:textId="77777777" w:rsidR="0053028D" w:rsidRPr="00293AF2" w:rsidRDefault="0053028D" w:rsidP="0053028D">
      <w:pPr>
        <w:spacing w:after="0"/>
        <w:ind w:left="568"/>
        <w:rPr>
          <w:rFonts w:eastAsia="Yu Mincho"/>
          <w:highlight w:val="yellow"/>
          <w:lang w:val="en-US"/>
        </w:rPr>
      </w:pPr>
    </w:p>
    <w:p w14:paraId="1B06BD34" w14:textId="77777777" w:rsidR="0053028D" w:rsidRPr="000363AF" w:rsidRDefault="0053028D" w:rsidP="0053028D">
      <w:pPr>
        <w:spacing w:after="0"/>
        <w:ind w:left="852" w:firstLine="284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lastRenderedPageBreak/>
        <w:t>MPR defined in Table 6.2.2-1 and Table 6.2.2-2 for PC3 and PC2 UE respectively</w:t>
      </w:r>
    </w:p>
    <w:p w14:paraId="6C953527" w14:textId="77777777" w:rsidR="0053028D" w:rsidRPr="000363AF" w:rsidRDefault="0053028D" w:rsidP="0053028D">
      <w:pPr>
        <w:spacing w:after="0"/>
        <w:ind w:left="568"/>
        <w:rPr>
          <w:rFonts w:eastAsia="Yu Mincho"/>
          <w:lang w:val="en-US"/>
        </w:rPr>
      </w:pPr>
    </w:p>
    <w:p w14:paraId="3324FB07" w14:textId="77777777" w:rsidR="0053028D" w:rsidRPr="00A1115A" w:rsidRDefault="0053028D" w:rsidP="0053028D">
      <w:pPr>
        <w:spacing w:after="0"/>
        <w:ind w:left="568"/>
        <w:rPr>
          <w:rFonts w:eastAsia="Yu Mincho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14A0CBE6" wp14:editId="77BAFEEF">
                <wp:simplePos x="0" y="0"/>
                <wp:positionH relativeFrom="column">
                  <wp:posOffset>-192807</wp:posOffset>
                </wp:positionH>
                <wp:positionV relativeFrom="paragraph">
                  <wp:posOffset>-146806</wp:posOffset>
                </wp:positionV>
                <wp:extent cx="6521450" cy="2893671"/>
                <wp:effectExtent l="0" t="0" r="12700" b="21590"/>
                <wp:wrapNone/>
                <wp:docPr id="108485944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1450" cy="2893671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C033B" id="Rectangle 1" o:spid="_x0000_s1026" style="position:absolute;margin-left:-15.2pt;margin-top:-11.55pt;width:513.5pt;height:227.85pt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" filled="f" strokecolor="windowText" strokeweight="1pt"/>
            </w:pict>
          </mc:Fallback>
        </mc:AlternateContent>
      </w:r>
      <w:r>
        <w:rPr>
          <w:rFonts w:eastAsia="Yu Mincho"/>
          <w:lang w:val="en-US"/>
        </w:rPr>
        <w:t xml:space="preserve">Else </w:t>
      </w:r>
      <w:r w:rsidRPr="00A1115A">
        <w:rPr>
          <w:rFonts w:eastAsia="Yu Mincho"/>
          <w:lang w:val="en-US"/>
        </w:rPr>
        <w:t xml:space="preserve">If </w:t>
      </w:r>
      <w:proofErr w:type="gramStart"/>
      <w:r w:rsidRPr="00A1115A">
        <w:rPr>
          <w:rFonts w:eastAsia="Yu Mincho"/>
          <w:lang w:val="en-US"/>
        </w:rPr>
        <w:t xml:space="preserve">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</w:t>
      </w:r>
      <w:proofErr w:type="gramEnd"/>
      <w:r w:rsidRPr="00A1115A">
        <w:rPr>
          <w:rFonts w:eastAsia="Yu Mincho"/>
          <w:vertAlign w:val="subscript"/>
        </w:rPr>
        <w:t xml:space="preserve">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-13,low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-13,high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2CBEF7B6" w14:textId="77777777" w:rsidR="0053028D" w:rsidRPr="00A1115A" w:rsidRDefault="0053028D" w:rsidP="0053028D">
      <w:pPr>
        <w:spacing w:after="0"/>
        <w:ind w:left="568"/>
        <w:rPr>
          <w:rFonts w:eastAsia="Yu Mincho"/>
          <w:lang w:val="en-US"/>
        </w:rPr>
      </w:pPr>
    </w:p>
    <w:p w14:paraId="3531D57D" w14:textId="77777777" w:rsidR="0053028D" w:rsidRPr="00A1115A" w:rsidRDefault="0053028D" w:rsidP="0053028D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 xml:space="preserve">MPR </w:t>
      </w:r>
      <w:r w:rsidRPr="00A1115A">
        <w:rPr>
          <w:rFonts w:eastAsia="Yu Mincho"/>
          <w:lang w:val="en-US"/>
        </w:rPr>
        <w:t>defined in Clause 6.2A.2.2.2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6.2A.2.2.2</w:t>
      </w:r>
      <w:r>
        <w:rPr>
          <w:rFonts w:eastAsia="Yu Mincho"/>
          <w:lang w:val="en-US"/>
        </w:rPr>
        <w:t xml:space="preserve">.2 for PC3 and PC2 UE </w:t>
      </w:r>
      <w:r>
        <w:t>respectively.</w:t>
      </w:r>
    </w:p>
    <w:p w14:paraId="53D7E41E" w14:textId="77777777" w:rsidR="0053028D" w:rsidRPr="00A1115A" w:rsidRDefault="0053028D" w:rsidP="0053028D">
      <w:pPr>
        <w:spacing w:after="0"/>
        <w:ind w:left="568"/>
        <w:rPr>
          <w:rFonts w:eastAsia="Yu Mincho"/>
          <w:lang w:val="en-US"/>
        </w:rPr>
      </w:pPr>
    </w:p>
    <w:p w14:paraId="1C572639" w14:textId="77777777" w:rsidR="0053028D" w:rsidRPr="00A1115A" w:rsidRDefault="0053028D" w:rsidP="0053028D">
      <w:pPr>
        <w:ind w:left="568"/>
      </w:pPr>
      <w:r w:rsidRPr="00A1115A">
        <w:t>Else</w:t>
      </w:r>
    </w:p>
    <w:p w14:paraId="56620B95" w14:textId="77777777" w:rsidR="0053028D" w:rsidRDefault="0053028D" w:rsidP="0053028D">
      <w:pPr>
        <w:spacing w:after="0"/>
        <w:ind w:left="1134" w:hanging="566"/>
        <w:rPr>
          <w:rFonts w:eastAsia="Yu Mincho"/>
          <w:lang w:val="en-US"/>
        </w:rPr>
      </w:pPr>
      <w:r w:rsidRPr="001E3B87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ab/>
        <w:t xml:space="preserve">MPR </w:t>
      </w:r>
      <w:r w:rsidRPr="00A1115A">
        <w:rPr>
          <w:rFonts w:eastAsia="Yu Mincho"/>
          <w:lang w:val="en-US"/>
        </w:rPr>
        <w:t>defined in Clause 6.2A.2.2.1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</w:t>
      </w:r>
      <w:r>
        <w:rPr>
          <w:rFonts w:eastAsia="Yu Mincho"/>
          <w:lang w:val="en-US"/>
        </w:rPr>
        <w:t xml:space="preserve">1.2 for PC3 and PC2 UE </w:t>
      </w:r>
      <w:r w:rsidRPr="001E3B87">
        <w:rPr>
          <w:rFonts w:eastAsia="Yu Mincho"/>
          <w:lang w:val="en-US"/>
        </w:rPr>
        <w:t>respectively.</w:t>
      </w:r>
    </w:p>
    <w:p w14:paraId="0A6339C9" w14:textId="77777777" w:rsidR="0053028D" w:rsidRPr="00A1115A" w:rsidRDefault="0053028D" w:rsidP="0053028D">
      <w:pPr>
        <w:spacing w:after="0"/>
        <w:ind w:left="1134" w:hanging="566"/>
        <w:rPr>
          <w:rFonts w:eastAsia="Yu Mincho"/>
          <w:lang w:val="en-US"/>
        </w:rPr>
      </w:pPr>
    </w:p>
    <w:p w14:paraId="1BAC81A7" w14:textId="77777777" w:rsidR="0053028D" w:rsidRPr="002E1676" w:rsidRDefault="0053028D" w:rsidP="0053028D">
      <w:pPr>
        <w:spacing w:after="0"/>
      </w:pPr>
      <w:r w:rsidRPr="002E1676">
        <w:rPr>
          <w:rFonts w:eastAsia="Yu Mincho"/>
          <w:lang w:val="en-US"/>
        </w:rPr>
        <w:tab/>
      </w:r>
      <w:r w:rsidRPr="00AE22DC">
        <w:rPr>
          <w:rFonts w:eastAsia="Yu Mincho"/>
          <w:highlight w:val="yellow"/>
          <w:lang w:val="en-US"/>
        </w:rPr>
        <w:t xml:space="preserve">For UE without indicating </w:t>
      </w:r>
      <w:proofErr w:type="spellStart"/>
      <w:r w:rsidRPr="00AE22DC">
        <w:rPr>
          <w:i/>
          <w:highlight w:val="yellow"/>
        </w:rPr>
        <w:t>dualPA</w:t>
      </w:r>
      <w:proofErr w:type="spellEnd"/>
      <w:r w:rsidRPr="00AE22DC">
        <w:rPr>
          <w:i/>
          <w:highlight w:val="yellow"/>
        </w:rPr>
        <w:t xml:space="preserve">-Architecture </w:t>
      </w:r>
      <w:r w:rsidRPr="00AE22DC">
        <w:rPr>
          <w:highlight w:val="yellow"/>
        </w:rPr>
        <w:t>supported</w:t>
      </w:r>
    </w:p>
    <w:p w14:paraId="43F6AEE5" w14:textId="77777777" w:rsidR="0053028D" w:rsidRPr="002E1676" w:rsidRDefault="0053028D" w:rsidP="0053028D">
      <w:pPr>
        <w:spacing w:after="0"/>
        <w:rPr>
          <w:rFonts w:eastAsia="Yu Mincho"/>
          <w:lang w:val="en-US"/>
        </w:rPr>
      </w:pPr>
    </w:p>
    <w:p w14:paraId="69A06F1D" w14:textId="77777777" w:rsidR="0053028D" w:rsidRPr="002E1676" w:rsidRDefault="0053028D" w:rsidP="0053028D">
      <w:pPr>
        <w:spacing w:after="0"/>
        <w:ind w:left="568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t xml:space="preserve">If </w:t>
      </w:r>
      <w:proofErr w:type="gramStart"/>
      <w:r w:rsidRPr="002E1676">
        <w:rPr>
          <w:rFonts w:eastAsia="Yu Mincho"/>
          <w:lang w:val="en-US"/>
        </w:rPr>
        <w:t xml:space="preserve">OR( </w:t>
      </w:r>
      <w:r w:rsidRPr="002E1676">
        <w:t>L</w:t>
      </w:r>
      <w:r w:rsidRPr="002E1676">
        <w:rPr>
          <w:vertAlign w:val="subscript"/>
        </w:rPr>
        <w:t>CRB</w:t>
      </w:r>
      <w:proofErr w:type="gramEnd"/>
      <w:r w:rsidRPr="002E1676">
        <w:rPr>
          <w:vertAlign w:val="subscript"/>
        </w:rPr>
        <w:t xml:space="preserve">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 w:rsidRPr="002E1676">
        <w:rPr>
          <w:rFonts w:eastAsia="Yu Mincho"/>
        </w:rPr>
        <w:t xml:space="preserve"> </w:t>
      </w:r>
      <w:r w:rsidRPr="002E1676">
        <w:rPr>
          <w:rFonts w:eastAsia="Yu Mincho"/>
          <w:lang w:val="en-US"/>
        </w:rPr>
        <w:t>)</w:t>
      </w:r>
    </w:p>
    <w:p w14:paraId="4AD3A944" w14:textId="77777777" w:rsidR="0053028D" w:rsidRPr="002E1676" w:rsidRDefault="0053028D" w:rsidP="0053028D">
      <w:pPr>
        <w:spacing w:after="0"/>
        <w:ind w:left="568"/>
        <w:rPr>
          <w:rFonts w:eastAsia="Yu Mincho"/>
          <w:lang w:val="en-US"/>
        </w:rPr>
      </w:pPr>
    </w:p>
    <w:p w14:paraId="3511679A" w14:textId="77777777" w:rsidR="0053028D" w:rsidRPr="002E1676" w:rsidRDefault="0053028D" w:rsidP="0053028D">
      <w:pPr>
        <w:spacing w:after="0"/>
        <w:ind w:left="852" w:firstLine="284"/>
      </w:pPr>
      <w:r w:rsidRPr="002E1676">
        <w:rPr>
          <w:rFonts w:eastAsia="Yu Mincho"/>
          <w:lang w:val="en-US"/>
        </w:rPr>
        <w:t xml:space="preserve">For PC3 UE, MPR defined in Table 6.2.2-1, except </w:t>
      </w:r>
      <w:r w:rsidRPr="002E1676">
        <w:t xml:space="preserve">for B &lt; </w:t>
      </w:r>
      <w:r w:rsidRPr="00FE3F14">
        <w:rPr>
          <w:bCs/>
        </w:rPr>
        <w:t>9</w:t>
      </w:r>
      <w:r w:rsidRPr="002E1676">
        <w:t xml:space="preserve"> MHz where </w:t>
      </w:r>
      <w:r w:rsidRPr="00FE3F14">
        <w:rPr>
          <w:bCs/>
        </w:rPr>
        <w:t>5.5</w:t>
      </w:r>
      <w:r w:rsidRPr="002E1676">
        <w:t xml:space="preserve"> dB MPR is </w:t>
      </w:r>
      <w:proofErr w:type="gramStart"/>
      <w:r w:rsidRPr="002E1676">
        <w:t>used;</w:t>
      </w:r>
      <w:proofErr w:type="gramEnd"/>
    </w:p>
    <w:p w14:paraId="77C046E0" w14:textId="77777777" w:rsidR="0053028D" w:rsidRPr="002E1676" w:rsidRDefault="0053028D" w:rsidP="0053028D">
      <w:pPr>
        <w:spacing w:after="0"/>
        <w:ind w:left="852" w:firstLine="284"/>
      </w:pPr>
      <w:r w:rsidRPr="002E1676">
        <w:rPr>
          <w:rFonts w:hint="eastAsia"/>
        </w:rPr>
        <w:t xml:space="preserve">For PC2 UE without indicating </w:t>
      </w:r>
      <w:proofErr w:type="spellStart"/>
      <w:r w:rsidRPr="002E1676">
        <w:rPr>
          <w:rFonts w:hint="eastAsia"/>
          <w:i/>
          <w:iCs/>
        </w:rPr>
        <w:t>TxD</w:t>
      </w:r>
      <w:proofErr w:type="spellEnd"/>
      <w:r w:rsidRPr="002E1676">
        <w:rPr>
          <w:rFonts w:hint="eastAsia"/>
        </w:rPr>
        <w:t xml:space="preserve">, MPR defined in Table 6.2.2-2 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</w:t>
      </w:r>
      <w:r>
        <w:t xml:space="preserve">MPR </w:t>
      </w:r>
      <w:r w:rsidRPr="002E1676">
        <w:rPr>
          <w:rFonts w:hint="eastAsia"/>
        </w:rPr>
        <w:t xml:space="preserve">is </w:t>
      </w:r>
      <w:proofErr w:type="gramStart"/>
      <w:r w:rsidRPr="002E1676">
        <w:rPr>
          <w:rFonts w:hint="eastAsia"/>
        </w:rPr>
        <w:t>used;</w:t>
      </w:r>
      <w:proofErr w:type="gramEnd"/>
    </w:p>
    <w:p w14:paraId="266BE79A" w14:textId="77777777" w:rsidR="0053028D" w:rsidRPr="002E1676" w:rsidRDefault="0053028D" w:rsidP="0053028D">
      <w:pPr>
        <w:ind w:left="852" w:firstLine="284"/>
        <w:rPr>
          <w:rFonts w:eastAsia="Yu Mincho"/>
        </w:rPr>
      </w:pPr>
      <w:r w:rsidRPr="002E1676">
        <w:rPr>
          <w:rFonts w:hint="eastAsia"/>
        </w:rPr>
        <w:t xml:space="preserve">For PC2 UE indicating </w:t>
      </w:r>
      <w:proofErr w:type="spellStart"/>
      <w:r w:rsidRPr="002E1676">
        <w:rPr>
          <w:rFonts w:hint="eastAsia"/>
          <w:i/>
          <w:iCs/>
        </w:rPr>
        <w:t>TxD</w:t>
      </w:r>
      <w:proofErr w:type="spellEnd"/>
      <w:r w:rsidRPr="002E1676">
        <w:rPr>
          <w:rFonts w:hint="eastAsia"/>
        </w:rPr>
        <w:t>, MPR defined in Table 6.2D.2-1</w:t>
      </w:r>
      <w:r>
        <w:t xml:space="preserve"> </w:t>
      </w:r>
      <w:r w:rsidRPr="002E1676">
        <w:rPr>
          <w:rFonts w:hint="eastAsia"/>
        </w:rPr>
        <w:t xml:space="preserve">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the maximum value between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and MPR defined in Table 6.2D.2-1</w:t>
      </w:r>
      <w:r>
        <w:t xml:space="preserve"> </w:t>
      </w:r>
      <w:r w:rsidRPr="002E1676">
        <w:rPr>
          <w:rFonts w:hint="eastAsia"/>
        </w:rPr>
        <w:t>is used.</w:t>
      </w:r>
    </w:p>
    <w:p w14:paraId="466A3DF9" w14:textId="77777777" w:rsidR="002D7E19" w:rsidRDefault="002D7E19" w:rsidP="002D5F98">
      <w:pPr>
        <w:rPr>
          <w:rFonts w:eastAsia="Times New Roman"/>
          <w:szCs w:val="24"/>
          <w:lang w:eastAsia="zh-CN"/>
        </w:rPr>
      </w:pPr>
    </w:p>
    <w:p w14:paraId="58C737EC" w14:textId="4C516CFC" w:rsidR="00DF1998" w:rsidRPr="00735381" w:rsidRDefault="00DF1998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018AC434" w14:textId="32FE9299" w:rsidR="006C6CEB" w:rsidRDefault="006C6CEB" w:rsidP="006C6CEB">
      <w:r>
        <w:t xml:space="preserve">According to [3] for a UE indicating or not indicating </w:t>
      </w:r>
      <w:proofErr w:type="spellStart"/>
      <w:r>
        <w:t>dualPA</w:t>
      </w:r>
      <w:proofErr w:type="spellEnd"/>
      <w:r>
        <w:t>-Architecture for intra-band non-contiguous CA when either L</w:t>
      </w:r>
      <w:r w:rsidRPr="00D81049">
        <w:rPr>
          <w:vertAlign w:val="subscript"/>
        </w:rPr>
        <w:t>CRB1</w:t>
      </w:r>
      <w:r>
        <w:t>=0 or L</w:t>
      </w:r>
      <w:r w:rsidRPr="00D81049">
        <w:rPr>
          <w:vertAlign w:val="subscript"/>
        </w:rPr>
        <w:t>CRB2</w:t>
      </w:r>
      <w:r>
        <w:t>=0 the single CC MPR tables are used. As the RB determination occurs at scheduling it is seen that for the non-contiguous CA the standard [</w:t>
      </w:r>
      <w:r w:rsidR="00F33F69">
        <w:t>3</w:t>
      </w:r>
      <w:r>
        <w:t>] already accounts for the scenario where only 1 CC is scheduled. In the above text the exception stated for the cases when B&lt; 9MHz or 11.52MHz and MPR is set to either 5.5 dB or 6.5 dB for PC3 and PC2 respectively is to meet the -30 dBm/MHz emissions requirement. These exceptions were added based on measurement work done in [</w:t>
      </w:r>
      <w:r w:rsidR="00144225">
        <w:t>4</w:t>
      </w:r>
      <w:r>
        <w:t>]</w:t>
      </w:r>
    </w:p>
    <w:p w14:paraId="4395BCC8" w14:textId="77777777" w:rsidR="006C6CEB" w:rsidRDefault="006C6CEB" w:rsidP="006C6CEB">
      <w:pPr>
        <w:rPr>
          <w:b/>
          <w:bCs/>
        </w:rPr>
      </w:pPr>
      <w:r w:rsidRPr="00D13D25">
        <w:rPr>
          <w:b/>
          <w:bCs/>
        </w:rPr>
        <w:t>Observation</w:t>
      </w:r>
      <w:r>
        <w:rPr>
          <w:b/>
          <w:bCs/>
        </w:rPr>
        <w:t>#2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MPR tables when </w:t>
      </w:r>
      <w:r w:rsidRPr="00D13D25">
        <w:rPr>
          <w:b/>
          <w:bCs/>
        </w:rPr>
        <w:t>only one CC is scheduled.</w:t>
      </w:r>
    </w:p>
    <w:p w14:paraId="62781FD8" w14:textId="0454C2F9" w:rsidR="006C6CEB" w:rsidRPr="00712D8C" w:rsidRDefault="006C6CEB" w:rsidP="006C6CEB">
      <w:pPr>
        <w:rPr>
          <w:b/>
          <w:bCs/>
        </w:rPr>
      </w:pPr>
      <w:r>
        <w:rPr>
          <w:b/>
          <w:bCs/>
        </w:rPr>
        <w:t>Proposal#</w:t>
      </w:r>
      <w:r w:rsidR="00C932B2">
        <w:rPr>
          <w:b/>
          <w:bCs/>
        </w:rPr>
        <w:t>1</w:t>
      </w:r>
      <w:r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</w:t>
      </w:r>
      <w:r w:rsidR="00232936">
        <w:rPr>
          <w:b/>
          <w:bCs/>
        </w:rPr>
        <w:t xml:space="preserve"> or updates</w:t>
      </w:r>
      <w:r>
        <w:rPr>
          <w:b/>
          <w:bCs/>
        </w:rPr>
        <w:t xml:space="preserve"> to the standard are required.</w:t>
      </w:r>
      <w:r w:rsidRPr="00FE0599">
        <w:rPr>
          <w:b/>
          <w:bCs/>
        </w:rPr>
        <w:t xml:space="preserve"> </w:t>
      </w:r>
    </w:p>
    <w:p w14:paraId="356A88F2" w14:textId="77777777" w:rsidR="006C6CEB" w:rsidRPr="00331888" w:rsidRDefault="006C6CEB" w:rsidP="006C6CE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Observation#3: The exceptions stated in section 6.2A.2.2.</w:t>
      </w:r>
      <w:r w:rsidRPr="00A01813">
        <w:rPr>
          <w:rFonts w:eastAsia="Times New Roman"/>
          <w:b/>
          <w:bCs/>
          <w:szCs w:val="24"/>
          <w:lang w:eastAsia="zh-CN"/>
        </w:rPr>
        <w:t xml:space="preserve">0 </w:t>
      </w:r>
      <w:r w:rsidRPr="00A01813">
        <w:rPr>
          <w:b/>
          <w:bCs/>
        </w:rPr>
        <w:t>for the cases when B&lt; 9MHz or 11.52MHz and MPR is set to either 5.5 dB or 6.5 dB for PC3 and PC2 respectively is to meet the -30 dBm/MHz emissions requirement</w:t>
      </w:r>
      <w:r>
        <w:rPr>
          <w:b/>
          <w:bCs/>
        </w:rPr>
        <w:t>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014ACC28" w:rsidR="001D633E" w:rsidRDefault="003D7B73" w:rsidP="003D7B73">
      <w:r>
        <w:t xml:space="preserve">In this paper </w:t>
      </w:r>
      <w:r w:rsidR="00665512">
        <w:t xml:space="preserve">we </w:t>
      </w:r>
      <w:r w:rsidR="00C914D6">
        <w:t xml:space="preserve">present </w:t>
      </w:r>
      <w:r w:rsidR="000663D7">
        <w:t>further views on MPR applicability for FR1 intra-band UL CA and make the following observations and proposals</w:t>
      </w:r>
      <w:r w:rsidR="00F97402">
        <w:t>:</w:t>
      </w:r>
    </w:p>
    <w:p w14:paraId="080ABCBD" w14:textId="77777777" w:rsidR="00661408" w:rsidRDefault="00661408" w:rsidP="00661408">
      <w:pPr>
        <w:rPr>
          <w:b/>
          <w:bCs/>
        </w:rPr>
      </w:pPr>
      <w:r w:rsidRPr="001B69A3">
        <w:rPr>
          <w:b/>
          <w:bCs/>
        </w:rPr>
        <w:t xml:space="preserve">Observation </w:t>
      </w:r>
      <w:r>
        <w:rPr>
          <w:b/>
          <w:bCs/>
        </w:rPr>
        <w:t>#</w:t>
      </w:r>
      <w:r w:rsidRPr="001B69A3">
        <w:rPr>
          <w:b/>
          <w:bCs/>
        </w:rPr>
        <w:t xml:space="preserve">1: </w:t>
      </w:r>
      <w:r>
        <w:rPr>
          <w:b/>
          <w:bCs/>
        </w:rPr>
        <w:t>For FR1 n</w:t>
      </w:r>
      <w:r w:rsidRPr="001B69A3">
        <w:rPr>
          <w:b/>
          <w:bCs/>
        </w:rPr>
        <w:t>o LO retuning for either contiguous or non-contiguous ULCA whe</w:t>
      </w:r>
      <w:r>
        <w:rPr>
          <w:b/>
          <w:bCs/>
        </w:rPr>
        <w:t>n</w:t>
      </w:r>
      <w:r w:rsidRPr="001B69A3">
        <w:rPr>
          <w:b/>
          <w:bCs/>
        </w:rPr>
        <w:t xml:space="preserve"> only 1 CC is activated.</w:t>
      </w:r>
      <w:r w:rsidRPr="007A0298">
        <w:rPr>
          <w:b/>
          <w:bCs/>
          <w:vertAlign w:val="subscript"/>
        </w:rPr>
        <w:t xml:space="preserve"> </w:t>
      </w:r>
    </w:p>
    <w:p w14:paraId="1EF75E80" w14:textId="77777777" w:rsidR="00661408" w:rsidRDefault="00661408" w:rsidP="00661408">
      <w:pPr>
        <w:rPr>
          <w:b/>
          <w:bCs/>
        </w:rPr>
      </w:pPr>
      <w:r w:rsidRPr="00D13D25">
        <w:rPr>
          <w:b/>
          <w:bCs/>
        </w:rPr>
        <w:t>Observation</w:t>
      </w:r>
      <w:r>
        <w:rPr>
          <w:b/>
          <w:bCs/>
        </w:rPr>
        <w:t>#2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MPR tables when </w:t>
      </w:r>
      <w:r w:rsidRPr="00D13D25">
        <w:rPr>
          <w:b/>
          <w:bCs/>
        </w:rPr>
        <w:t>only one CC is scheduled.</w:t>
      </w:r>
    </w:p>
    <w:p w14:paraId="12F1250D" w14:textId="3302B8CC" w:rsidR="00661408" w:rsidRPr="00712D8C" w:rsidRDefault="00661408" w:rsidP="00661408">
      <w:pPr>
        <w:rPr>
          <w:b/>
          <w:bCs/>
        </w:rPr>
      </w:pPr>
      <w:r>
        <w:rPr>
          <w:b/>
          <w:bCs/>
        </w:rPr>
        <w:t>Proposal#</w:t>
      </w:r>
      <w:r w:rsidR="00C932B2">
        <w:rPr>
          <w:b/>
          <w:bCs/>
        </w:rPr>
        <w:t>1</w:t>
      </w:r>
      <w:r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 xml:space="preserve">intra-band non-contiguous CA as the standard already accounts for the use of the single CC MPR tables when only 1 CC is scheduled no further changes </w:t>
      </w:r>
      <w:r w:rsidR="00232936">
        <w:rPr>
          <w:b/>
          <w:bCs/>
        </w:rPr>
        <w:t xml:space="preserve">or updates </w:t>
      </w:r>
      <w:r>
        <w:rPr>
          <w:b/>
          <w:bCs/>
        </w:rPr>
        <w:t>to the standard are required.</w:t>
      </w:r>
      <w:r w:rsidRPr="00FE0599">
        <w:rPr>
          <w:b/>
          <w:bCs/>
        </w:rPr>
        <w:t xml:space="preserve"> </w:t>
      </w:r>
    </w:p>
    <w:p w14:paraId="48272150" w14:textId="77777777" w:rsidR="00661408" w:rsidRPr="00331888" w:rsidRDefault="00661408" w:rsidP="006614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Observation#3: The exceptions stated in section 6.2A.2.2.</w:t>
      </w:r>
      <w:r w:rsidRPr="00A01813">
        <w:rPr>
          <w:rFonts w:eastAsia="Times New Roman"/>
          <w:b/>
          <w:bCs/>
          <w:szCs w:val="24"/>
          <w:lang w:eastAsia="zh-CN"/>
        </w:rPr>
        <w:t xml:space="preserve">0 </w:t>
      </w:r>
      <w:r w:rsidRPr="00A01813">
        <w:rPr>
          <w:b/>
          <w:bCs/>
        </w:rPr>
        <w:t>for the cases when B&lt; 9MHz or 11.52MHz and MPR is set to either 5.5 dB or 6.5 dB for PC3 and PC2 respectively is to meet the -30 dBm/MHz emissions requirement</w:t>
      </w:r>
      <w:r>
        <w:rPr>
          <w:b/>
          <w:bCs/>
        </w:rPr>
        <w:t>.</w:t>
      </w:r>
    </w:p>
    <w:p w14:paraId="0F6C624D" w14:textId="60EB9064" w:rsidR="003C07B2" w:rsidRPr="00331888" w:rsidRDefault="003C07B2" w:rsidP="003C07B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781E17F0" w14:textId="36F63F02" w:rsidR="00A01813" w:rsidRPr="00331888" w:rsidRDefault="00A01813" w:rsidP="00A018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lastRenderedPageBreak/>
        <w:t>References</w:t>
      </w:r>
    </w:p>
    <w:p w14:paraId="551A96BD" w14:textId="2DA19168" w:rsidR="000D36C5" w:rsidRDefault="001035F5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BB669F">
        <w:rPr>
          <w:lang w:eastAsia="ko-KR"/>
        </w:rPr>
        <w:t>[R4-2417204, WF on power domain enhancements</w:t>
      </w:r>
      <w:r w:rsidR="00BB669F" w:rsidRPr="004860CD">
        <w:rPr>
          <w:lang w:eastAsia="ko-KR"/>
        </w:rPr>
        <w:t>,</w:t>
      </w:r>
      <w:r w:rsidR="00BB669F">
        <w:rPr>
          <w:lang w:eastAsia="ko-KR"/>
        </w:rPr>
        <w:t xml:space="preserve"> RAN4#112bis, October 14</w:t>
      </w:r>
      <w:r w:rsidR="00BB669F" w:rsidRPr="00FF3ED4">
        <w:rPr>
          <w:vertAlign w:val="superscript"/>
          <w:lang w:eastAsia="ko-KR"/>
        </w:rPr>
        <w:t>th</w:t>
      </w:r>
      <w:r w:rsidR="00BB669F">
        <w:rPr>
          <w:lang w:eastAsia="ko-KR"/>
        </w:rPr>
        <w:t xml:space="preserve"> – October 18</w:t>
      </w:r>
      <w:r w:rsidR="00BB669F" w:rsidRPr="00FF3ED4">
        <w:rPr>
          <w:vertAlign w:val="superscript"/>
          <w:lang w:eastAsia="ko-KR"/>
        </w:rPr>
        <w:t>th</w:t>
      </w:r>
      <w:r w:rsidR="00BB669F">
        <w:rPr>
          <w:lang w:eastAsia="ko-KR"/>
        </w:rPr>
        <w:t xml:space="preserve">, 2024 </w:t>
      </w:r>
    </w:p>
    <w:p w14:paraId="34CBC4FD" w14:textId="615D0BDC" w:rsidR="001035F5" w:rsidRDefault="000D36C5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[2] </w:t>
      </w:r>
      <w:r w:rsidR="001035F5">
        <w:rPr>
          <w:lang w:eastAsia="ko-KR"/>
        </w:rPr>
        <w:t>R4-24</w:t>
      </w:r>
      <w:r w:rsidR="00040B20">
        <w:rPr>
          <w:lang w:eastAsia="ko-KR"/>
        </w:rPr>
        <w:t>2</w:t>
      </w:r>
      <w:r w:rsidR="008C23CF">
        <w:rPr>
          <w:lang w:eastAsia="ko-KR"/>
        </w:rPr>
        <w:t>0527</w:t>
      </w:r>
      <w:r w:rsidR="001035F5">
        <w:rPr>
          <w:lang w:eastAsia="ko-KR"/>
        </w:rPr>
        <w:t>, WF on power domain enhancements</w:t>
      </w:r>
      <w:r w:rsidR="001035F5" w:rsidRPr="004860CD">
        <w:rPr>
          <w:lang w:eastAsia="ko-KR"/>
        </w:rPr>
        <w:t>,</w:t>
      </w:r>
      <w:r w:rsidR="001035F5">
        <w:rPr>
          <w:lang w:eastAsia="ko-KR"/>
        </w:rPr>
        <w:t xml:space="preserve"> RAN4#11</w:t>
      </w:r>
      <w:r w:rsidR="008C23CF">
        <w:rPr>
          <w:lang w:eastAsia="ko-KR"/>
        </w:rPr>
        <w:t>3</w:t>
      </w:r>
      <w:r w:rsidR="001035F5">
        <w:rPr>
          <w:lang w:eastAsia="ko-KR"/>
        </w:rPr>
        <w:t>,</w:t>
      </w:r>
      <w:r w:rsidR="00A84921">
        <w:rPr>
          <w:lang w:eastAsia="ko-KR"/>
        </w:rPr>
        <w:t xml:space="preserve"> </w:t>
      </w:r>
      <w:r w:rsidR="008C23CF">
        <w:rPr>
          <w:lang w:eastAsia="ko-KR"/>
        </w:rPr>
        <w:t>November</w:t>
      </w:r>
      <w:r w:rsidR="001035F5">
        <w:rPr>
          <w:lang w:eastAsia="ko-KR"/>
        </w:rPr>
        <w:t xml:space="preserve"> 1</w:t>
      </w:r>
      <w:r w:rsidR="008C23CF">
        <w:rPr>
          <w:lang w:eastAsia="ko-KR"/>
        </w:rPr>
        <w:t>7</w:t>
      </w:r>
      <w:r w:rsidR="001035F5" w:rsidRPr="00FF3ED4">
        <w:rPr>
          <w:vertAlign w:val="superscript"/>
          <w:lang w:eastAsia="ko-KR"/>
        </w:rPr>
        <w:t>th</w:t>
      </w:r>
      <w:r w:rsidR="001035F5">
        <w:rPr>
          <w:lang w:eastAsia="ko-KR"/>
        </w:rPr>
        <w:t xml:space="preserve"> – </w:t>
      </w:r>
      <w:r w:rsidR="008C23CF">
        <w:rPr>
          <w:lang w:eastAsia="ko-KR"/>
        </w:rPr>
        <w:t>November</w:t>
      </w:r>
      <w:r w:rsidR="001035F5">
        <w:rPr>
          <w:lang w:eastAsia="ko-KR"/>
        </w:rPr>
        <w:t xml:space="preserve"> </w:t>
      </w:r>
      <w:r w:rsidR="00A95A3D">
        <w:rPr>
          <w:lang w:eastAsia="ko-KR"/>
        </w:rPr>
        <w:t>22</w:t>
      </w:r>
      <w:r w:rsidR="00A95A3D" w:rsidRPr="00A95A3D">
        <w:rPr>
          <w:vertAlign w:val="superscript"/>
          <w:lang w:eastAsia="ko-KR"/>
        </w:rPr>
        <w:t>nd</w:t>
      </w:r>
      <w:r w:rsidR="00A84921">
        <w:rPr>
          <w:lang w:eastAsia="ko-KR"/>
        </w:rPr>
        <w:t>,</w:t>
      </w:r>
      <w:r w:rsidR="001035F5">
        <w:rPr>
          <w:lang w:eastAsia="ko-KR"/>
        </w:rPr>
        <w:t xml:space="preserve"> 2024 </w:t>
      </w:r>
    </w:p>
    <w:p w14:paraId="77F9C826" w14:textId="22D969CB" w:rsidR="00F5411D" w:rsidRDefault="00F5411D" w:rsidP="00EE09B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  <w:r w:rsidRPr="00EE09B7">
        <w:rPr>
          <w:rFonts w:ascii="Times New Roman" w:eastAsiaTheme="minorEastAsia" w:hAnsi="Times New Roman"/>
          <w:b w:val="0"/>
          <w:sz w:val="20"/>
        </w:rPr>
        <w:t>[</w:t>
      </w:r>
      <w:r w:rsidR="00C33D87">
        <w:rPr>
          <w:rFonts w:ascii="Times New Roman" w:eastAsiaTheme="minorEastAsia" w:hAnsi="Times New Roman"/>
          <w:b w:val="0"/>
          <w:sz w:val="20"/>
        </w:rPr>
        <w:t>3</w:t>
      </w:r>
      <w:r w:rsidRPr="00EE09B7">
        <w:rPr>
          <w:rFonts w:ascii="Times New Roman" w:eastAsiaTheme="minorEastAsia" w:hAnsi="Times New Roman"/>
          <w:b w:val="0"/>
          <w:sz w:val="20"/>
        </w:rPr>
        <w:t xml:space="preserve">] TS38.101-1, </w:t>
      </w:r>
      <w:r w:rsidR="00EE09B7" w:rsidRPr="00EE09B7">
        <w:rPr>
          <w:rFonts w:ascii="Times New Roman" w:eastAsiaTheme="minorEastAsia" w:hAnsi="Times New Roman"/>
          <w:b w:val="0"/>
          <w:sz w:val="20"/>
        </w:rPr>
        <w:t>User Equipment (UE) radio transmission and reception;</w:t>
      </w:r>
      <w:r w:rsidR="00EE09B7">
        <w:rPr>
          <w:rFonts w:ascii="Times New Roman" w:eastAsiaTheme="minorEastAsia" w:hAnsi="Times New Roman"/>
          <w:b w:val="0"/>
          <w:sz w:val="20"/>
        </w:rPr>
        <w:t xml:space="preserve"> </w:t>
      </w:r>
      <w:r w:rsidR="00EE09B7" w:rsidRPr="00EE09B7">
        <w:rPr>
          <w:rFonts w:ascii="Times New Roman" w:eastAsiaTheme="minorEastAsia" w:hAnsi="Times New Roman"/>
          <w:b w:val="0"/>
          <w:sz w:val="20"/>
        </w:rPr>
        <w:t>Part 1: Range 1 Standalone</w:t>
      </w:r>
    </w:p>
    <w:p w14:paraId="27F9D7A9" w14:textId="77777777" w:rsidR="00F50A26" w:rsidRDefault="00F50A26" w:rsidP="00EE09B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</w:p>
    <w:p w14:paraId="669F3439" w14:textId="2E59E48A" w:rsidR="00F50A26" w:rsidRPr="00EE09B7" w:rsidRDefault="00F50A26" w:rsidP="00EE09B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  <w:r>
        <w:rPr>
          <w:rFonts w:ascii="Times New Roman" w:eastAsiaTheme="minorEastAsia" w:hAnsi="Times New Roman"/>
          <w:b w:val="0"/>
          <w:sz w:val="20"/>
        </w:rPr>
        <w:t>[</w:t>
      </w:r>
      <w:r w:rsidR="00144225">
        <w:rPr>
          <w:rFonts w:ascii="Times New Roman" w:eastAsiaTheme="minorEastAsia" w:hAnsi="Times New Roman"/>
          <w:b w:val="0"/>
          <w:sz w:val="20"/>
        </w:rPr>
        <w:t>4</w:t>
      </w:r>
      <w:r>
        <w:rPr>
          <w:rFonts w:ascii="Times New Roman" w:eastAsiaTheme="minorEastAsia" w:hAnsi="Times New Roman"/>
          <w:b w:val="0"/>
          <w:sz w:val="20"/>
        </w:rPr>
        <w:t xml:space="preserve">] </w:t>
      </w:r>
      <w:r w:rsidR="00672972" w:rsidRPr="00672972">
        <w:rPr>
          <w:rFonts w:ascii="Times New Roman" w:eastAsiaTheme="minorEastAsia" w:hAnsi="Times New Roman"/>
          <w:b w:val="0"/>
          <w:sz w:val="20"/>
        </w:rPr>
        <w:t>R4-2204225, 1CC fall-back MPR for NC UL CA with 1LO architecture, February 21st – March 3rd, 2022</w:t>
      </w: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2F24F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2"/>
  </w:num>
  <w:num w:numId="2" w16cid:durableId="1036857466">
    <w:abstractNumId w:val="1"/>
  </w:num>
  <w:num w:numId="3" w16cid:durableId="513541485">
    <w:abstractNumId w:val="3"/>
  </w:num>
  <w:num w:numId="4" w16cid:durableId="87195705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568B"/>
    <w:rsid w:val="000065A7"/>
    <w:rsid w:val="00010B50"/>
    <w:rsid w:val="0001122D"/>
    <w:rsid w:val="00011F96"/>
    <w:rsid w:val="00012084"/>
    <w:rsid w:val="00012B2B"/>
    <w:rsid w:val="0001362F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430"/>
    <w:rsid w:val="00026B95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B20"/>
    <w:rsid w:val="00040D07"/>
    <w:rsid w:val="000414D9"/>
    <w:rsid w:val="0004168E"/>
    <w:rsid w:val="00042321"/>
    <w:rsid w:val="000432AD"/>
    <w:rsid w:val="000432E4"/>
    <w:rsid w:val="0004332E"/>
    <w:rsid w:val="000433A9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67CE7"/>
    <w:rsid w:val="00070AD8"/>
    <w:rsid w:val="00071F9C"/>
    <w:rsid w:val="00072A56"/>
    <w:rsid w:val="00073894"/>
    <w:rsid w:val="00074F22"/>
    <w:rsid w:val="00075C42"/>
    <w:rsid w:val="000775CB"/>
    <w:rsid w:val="000775CD"/>
    <w:rsid w:val="00077D6C"/>
    <w:rsid w:val="00077DD8"/>
    <w:rsid w:val="00077EB3"/>
    <w:rsid w:val="000811C5"/>
    <w:rsid w:val="00084322"/>
    <w:rsid w:val="000872D5"/>
    <w:rsid w:val="000905CC"/>
    <w:rsid w:val="000908D9"/>
    <w:rsid w:val="0009140F"/>
    <w:rsid w:val="00092AF8"/>
    <w:rsid w:val="00093294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1E64"/>
    <w:rsid w:val="000C23B3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36C5"/>
    <w:rsid w:val="000D406F"/>
    <w:rsid w:val="000D4A0A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56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2C81"/>
    <w:rsid w:val="00103130"/>
    <w:rsid w:val="001035F5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ED2"/>
    <w:rsid w:val="00114581"/>
    <w:rsid w:val="00114B9B"/>
    <w:rsid w:val="00114F42"/>
    <w:rsid w:val="00114FE8"/>
    <w:rsid w:val="00115F61"/>
    <w:rsid w:val="00116429"/>
    <w:rsid w:val="0011648E"/>
    <w:rsid w:val="001172E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48A3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C9"/>
    <w:rsid w:val="001429F4"/>
    <w:rsid w:val="001433BC"/>
    <w:rsid w:val="00144225"/>
    <w:rsid w:val="00144800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26AD"/>
    <w:rsid w:val="00172FFA"/>
    <w:rsid w:val="0017350E"/>
    <w:rsid w:val="0017424F"/>
    <w:rsid w:val="001746C6"/>
    <w:rsid w:val="00176A07"/>
    <w:rsid w:val="00176F98"/>
    <w:rsid w:val="00177236"/>
    <w:rsid w:val="00177316"/>
    <w:rsid w:val="00180293"/>
    <w:rsid w:val="0018073A"/>
    <w:rsid w:val="00180BAA"/>
    <w:rsid w:val="0018136B"/>
    <w:rsid w:val="001821DC"/>
    <w:rsid w:val="00182ACA"/>
    <w:rsid w:val="00182F9E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5CD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4EBE"/>
    <w:rsid w:val="001B515F"/>
    <w:rsid w:val="001B5D24"/>
    <w:rsid w:val="001B69A3"/>
    <w:rsid w:val="001B729C"/>
    <w:rsid w:val="001B7369"/>
    <w:rsid w:val="001B746E"/>
    <w:rsid w:val="001C34E6"/>
    <w:rsid w:val="001C3F31"/>
    <w:rsid w:val="001C463D"/>
    <w:rsid w:val="001C4DEE"/>
    <w:rsid w:val="001C54B6"/>
    <w:rsid w:val="001C6513"/>
    <w:rsid w:val="001D0FF1"/>
    <w:rsid w:val="001D12E4"/>
    <w:rsid w:val="001D148D"/>
    <w:rsid w:val="001D2C8E"/>
    <w:rsid w:val="001D2DE2"/>
    <w:rsid w:val="001D3138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3A4"/>
    <w:rsid w:val="002028B1"/>
    <w:rsid w:val="00202E77"/>
    <w:rsid w:val="0020322D"/>
    <w:rsid w:val="002037B6"/>
    <w:rsid w:val="00203D36"/>
    <w:rsid w:val="002045F4"/>
    <w:rsid w:val="00205285"/>
    <w:rsid w:val="00206A2B"/>
    <w:rsid w:val="002071A9"/>
    <w:rsid w:val="0020782D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6D"/>
    <w:rsid w:val="002151EE"/>
    <w:rsid w:val="00215772"/>
    <w:rsid w:val="00215DB2"/>
    <w:rsid w:val="00216428"/>
    <w:rsid w:val="002167A7"/>
    <w:rsid w:val="002175EE"/>
    <w:rsid w:val="0021777A"/>
    <w:rsid w:val="00217E95"/>
    <w:rsid w:val="00221917"/>
    <w:rsid w:val="00222D56"/>
    <w:rsid w:val="00222D66"/>
    <w:rsid w:val="002238F9"/>
    <w:rsid w:val="002239EA"/>
    <w:rsid w:val="00223C9F"/>
    <w:rsid w:val="00224FCC"/>
    <w:rsid w:val="00225E53"/>
    <w:rsid w:val="002267B2"/>
    <w:rsid w:val="00226A8C"/>
    <w:rsid w:val="00227148"/>
    <w:rsid w:val="002272D3"/>
    <w:rsid w:val="0022781D"/>
    <w:rsid w:val="002314BC"/>
    <w:rsid w:val="00232503"/>
    <w:rsid w:val="002326CA"/>
    <w:rsid w:val="00232936"/>
    <w:rsid w:val="00233F50"/>
    <w:rsid w:val="002348BF"/>
    <w:rsid w:val="00235046"/>
    <w:rsid w:val="002350B8"/>
    <w:rsid w:val="00236CB7"/>
    <w:rsid w:val="0023778F"/>
    <w:rsid w:val="002414AB"/>
    <w:rsid w:val="0024176F"/>
    <w:rsid w:val="00241773"/>
    <w:rsid w:val="002438F0"/>
    <w:rsid w:val="00244785"/>
    <w:rsid w:val="0024511B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77F48"/>
    <w:rsid w:val="00280045"/>
    <w:rsid w:val="002804A3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86E"/>
    <w:rsid w:val="00287AE8"/>
    <w:rsid w:val="00287F7B"/>
    <w:rsid w:val="00290473"/>
    <w:rsid w:val="0029207B"/>
    <w:rsid w:val="002927A0"/>
    <w:rsid w:val="00292875"/>
    <w:rsid w:val="0029287E"/>
    <w:rsid w:val="002929DC"/>
    <w:rsid w:val="00292DCA"/>
    <w:rsid w:val="00292FFA"/>
    <w:rsid w:val="0029312F"/>
    <w:rsid w:val="00293572"/>
    <w:rsid w:val="00293A39"/>
    <w:rsid w:val="00293E95"/>
    <w:rsid w:val="00294779"/>
    <w:rsid w:val="002952A2"/>
    <w:rsid w:val="002960BC"/>
    <w:rsid w:val="0029616C"/>
    <w:rsid w:val="00296FE3"/>
    <w:rsid w:val="002A08FE"/>
    <w:rsid w:val="002A1465"/>
    <w:rsid w:val="002A1C01"/>
    <w:rsid w:val="002A224F"/>
    <w:rsid w:val="002A2371"/>
    <w:rsid w:val="002A3028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6886"/>
    <w:rsid w:val="002B7372"/>
    <w:rsid w:val="002B73F1"/>
    <w:rsid w:val="002B76BD"/>
    <w:rsid w:val="002B771A"/>
    <w:rsid w:val="002C018D"/>
    <w:rsid w:val="002C0479"/>
    <w:rsid w:val="002C07DD"/>
    <w:rsid w:val="002C0A40"/>
    <w:rsid w:val="002C188C"/>
    <w:rsid w:val="002C26FA"/>
    <w:rsid w:val="002C319D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BE"/>
    <w:rsid w:val="002D58ED"/>
    <w:rsid w:val="002D5F98"/>
    <w:rsid w:val="002D6A81"/>
    <w:rsid w:val="002D755E"/>
    <w:rsid w:val="002D7772"/>
    <w:rsid w:val="002D7E19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615"/>
    <w:rsid w:val="002E7F5F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1DF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A1F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0DF2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2B9"/>
    <w:rsid w:val="0032097F"/>
    <w:rsid w:val="00320BCA"/>
    <w:rsid w:val="00320CC4"/>
    <w:rsid w:val="00321A80"/>
    <w:rsid w:val="00322CC1"/>
    <w:rsid w:val="00324990"/>
    <w:rsid w:val="00324C48"/>
    <w:rsid w:val="00324D06"/>
    <w:rsid w:val="00326130"/>
    <w:rsid w:val="003261EC"/>
    <w:rsid w:val="00326D4E"/>
    <w:rsid w:val="0033053A"/>
    <w:rsid w:val="0033127F"/>
    <w:rsid w:val="00331888"/>
    <w:rsid w:val="00331FD7"/>
    <w:rsid w:val="003329BE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2ED"/>
    <w:rsid w:val="00346332"/>
    <w:rsid w:val="0034635A"/>
    <w:rsid w:val="003465BD"/>
    <w:rsid w:val="0034685E"/>
    <w:rsid w:val="003469DA"/>
    <w:rsid w:val="003476B3"/>
    <w:rsid w:val="00347CB5"/>
    <w:rsid w:val="00347E39"/>
    <w:rsid w:val="00350DC7"/>
    <w:rsid w:val="00351978"/>
    <w:rsid w:val="00351A32"/>
    <w:rsid w:val="00352BFA"/>
    <w:rsid w:val="00353582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A68AA"/>
    <w:rsid w:val="003B0D4A"/>
    <w:rsid w:val="003B169D"/>
    <w:rsid w:val="003B2D77"/>
    <w:rsid w:val="003B31AF"/>
    <w:rsid w:val="003B368F"/>
    <w:rsid w:val="003B3876"/>
    <w:rsid w:val="003B3C8C"/>
    <w:rsid w:val="003B4BF2"/>
    <w:rsid w:val="003B6C0C"/>
    <w:rsid w:val="003B6F17"/>
    <w:rsid w:val="003B7E11"/>
    <w:rsid w:val="003C0288"/>
    <w:rsid w:val="003C07B2"/>
    <w:rsid w:val="003C1A5D"/>
    <w:rsid w:val="003C2F36"/>
    <w:rsid w:val="003C3383"/>
    <w:rsid w:val="003C352C"/>
    <w:rsid w:val="003C42E4"/>
    <w:rsid w:val="003C468D"/>
    <w:rsid w:val="003C4AA3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186"/>
    <w:rsid w:val="003D571A"/>
    <w:rsid w:val="003D5830"/>
    <w:rsid w:val="003D5A84"/>
    <w:rsid w:val="003D65E2"/>
    <w:rsid w:val="003D6F58"/>
    <w:rsid w:val="003D742E"/>
    <w:rsid w:val="003D7B73"/>
    <w:rsid w:val="003D7F1C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6DA5"/>
    <w:rsid w:val="003F7412"/>
    <w:rsid w:val="003F76B6"/>
    <w:rsid w:val="003F7862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4E66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248"/>
    <w:rsid w:val="0044474F"/>
    <w:rsid w:val="00445E3F"/>
    <w:rsid w:val="00447AB8"/>
    <w:rsid w:val="00447AF2"/>
    <w:rsid w:val="004500AC"/>
    <w:rsid w:val="004502A6"/>
    <w:rsid w:val="004509CB"/>
    <w:rsid w:val="004523D4"/>
    <w:rsid w:val="00452549"/>
    <w:rsid w:val="00453B15"/>
    <w:rsid w:val="00453E36"/>
    <w:rsid w:val="004541E5"/>
    <w:rsid w:val="0045428D"/>
    <w:rsid w:val="004543C1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4472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391B"/>
    <w:rsid w:val="00474684"/>
    <w:rsid w:val="00474E5B"/>
    <w:rsid w:val="00474FE5"/>
    <w:rsid w:val="00476745"/>
    <w:rsid w:val="00476DD5"/>
    <w:rsid w:val="00480451"/>
    <w:rsid w:val="00481250"/>
    <w:rsid w:val="00482C49"/>
    <w:rsid w:val="00482D34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777"/>
    <w:rsid w:val="00496B7C"/>
    <w:rsid w:val="00496B7D"/>
    <w:rsid w:val="00496FBC"/>
    <w:rsid w:val="004971A7"/>
    <w:rsid w:val="004973DD"/>
    <w:rsid w:val="0049780C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C6D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254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450"/>
    <w:rsid w:val="00502F16"/>
    <w:rsid w:val="00503828"/>
    <w:rsid w:val="00505364"/>
    <w:rsid w:val="00505AFA"/>
    <w:rsid w:val="00505F2F"/>
    <w:rsid w:val="00505FC0"/>
    <w:rsid w:val="00506723"/>
    <w:rsid w:val="00506826"/>
    <w:rsid w:val="00507115"/>
    <w:rsid w:val="005077A3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28D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1C4E"/>
    <w:rsid w:val="005425B2"/>
    <w:rsid w:val="005436E7"/>
    <w:rsid w:val="00544C85"/>
    <w:rsid w:val="005453AB"/>
    <w:rsid w:val="00545B94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7FC"/>
    <w:rsid w:val="00574E28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7D4"/>
    <w:rsid w:val="00586C71"/>
    <w:rsid w:val="00587898"/>
    <w:rsid w:val="00587B4E"/>
    <w:rsid w:val="005908A2"/>
    <w:rsid w:val="005911BD"/>
    <w:rsid w:val="00591244"/>
    <w:rsid w:val="00591B06"/>
    <w:rsid w:val="0059257A"/>
    <w:rsid w:val="00593BEF"/>
    <w:rsid w:val="0059456C"/>
    <w:rsid w:val="005948A0"/>
    <w:rsid w:val="00596474"/>
    <w:rsid w:val="005964C2"/>
    <w:rsid w:val="0059713F"/>
    <w:rsid w:val="0059740E"/>
    <w:rsid w:val="0059794A"/>
    <w:rsid w:val="00597FAA"/>
    <w:rsid w:val="005A0418"/>
    <w:rsid w:val="005A0542"/>
    <w:rsid w:val="005A0684"/>
    <w:rsid w:val="005A0A5D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BD6"/>
    <w:rsid w:val="005B4A28"/>
    <w:rsid w:val="005B533E"/>
    <w:rsid w:val="005B6347"/>
    <w:rsid w:val="005B7B72"/>
    <w:rsid w:val="005C0D66"/>
    <w:rsid w:val="005C1194"/>
    <w:rsid w:val="005C11A1"/>
    <w:rsid w:val="005C1712"/>
    <w:rsid w:val="005C2C3A"/>
    <w:rsid w:val="005C360A"/>
    <w:rsid w:val="005C3712"/>
    <w:rsid w:val="005C40A7"/>
    <w:rsid w:val="005C43D5"/>
    <w:rsid w:val="005C54B2"/>
    <w:rsid w:val="005C5A10"/>
    <w:rsid w:val="005C5A3E"/>
    <w:rsid w:val="005C5B3D"/>
    <w:rsid w:val="005C6005"/>
    <w:rsid w:val="005C6B19"/>
    <w:rsid w:val="005D0474"/>
    <w:rsid w:val="005D0684"/>
    <w:rsid w:val="005D0D93"/>
    <w:rsid w:val="005D1530"/>
    <w:rsid w:val="005D1971"/>
    <w:rsid w:val="005D1BD4"/>
    <w:rsid w:val="005D1BDC"/>
    <w:rsid w:val="005D22EF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0D26"/>
    <w:rsid w:val="005F1C87"/>
    <w:rsid w:val="005F1E31"/>
    <w:rsid w:val="005F26F7"/>
    <w:rsid w:val="005F28D2"/>
    <w:rsid w:val="005F33D7"/>
    <w:rsid w:val="005F35A7"/>
    <w:rsid w:val="005F5179"/>
    <w:rsid w:val="005F5F6F"/>
    <w:rsid w:val="005F6FCA"/>
    <w:rsid w:val="00600416"/>
    <w:rsid w:val="00600A82"/>
    <w:rsid w:val="00600EB5"/>
    <w:rsid w:val="00601397"/>
    <w:rsid w:val="00601449"/>
    <w:rsid w:val="00601997"/>
    <w:rsid w:val="00602136"/>
    <w:rsid w:val="00602291"/>
    <w:rsid w:val="0060299D"/>
    <w:rsid w:val="0060357A"/>
    <w:rsid w:val="00603D3C"/>
    <w:rsid w:val="0060402D"/>
    <w:rsid w:val="00605097"/>
    <w:rsid w:val="00605A1C"/>
    <w:rsid w:val="00606A5C"/>
    <w:rsid w:val="00607482"/>
    <w:rsid w:val="00607AD0"/>
    <w:rsid w:val="00611B53"/>
    <w:rsid w:val="00611D26"/>
    <w:rsid w:val="006120F6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075E"/>
    <w:rsid w:val="006314E7"/>
    <w:rsid w:val="00631AE5"/>
    <w:rsid w:val="00631DC5"/>
    <w:rsid w:val="00631F8E"/>
    <w:rsid w:val="006321BA"/>
    <w:rsid w:val="00633410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471D"/>
    <w:rsid w:val="006559A3"/>
    <w:rsid w:val="00656CE9"/>
    <w:rsid w:val="00657534"/>
    <w:rsid w:val="00657AB4"/>
    <w:rsid w:val="00660FA2"/>
    <w:rsid w:val="00661408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972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6B2"/>
    <w:rsid w:val="006A4CD0"/>
    <w:rsid w:val="006A5015"/>
    <w:rsid w:val="006A52C0"/>
    <w:rsid w:val="006A5EA6"/>
    <w:rsid w:val="006A6397"/>
    <w:rsid w:val="006B00EC"/>
    <w:rsid w:val="006B09C2"/>
    <w:rsid w:val="006B0B9F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0B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292C"/>
    <w:rsid w:val="006C3160"/>
    <w:rsid w:val="006C410C"/>
    <w:rsid w:val="006C4938"/>
    <w:rsid w:val="006C5400"/>
    <w:rsid w:val="006C5701"/>
    <w:rsid w:val="006C63EA"/>
    <w:rsid w:val="006C6CEB"/>
    <w:rsid w:val="006C7168"/>
    <w:rsid w:val="006C7A61"/>
    <w:rsid w:val="006D0115"/>
    <w:rsid w:val="006D1602"/>
    <w:rsid w:val="006D244C"/>
    <w:rsid w:val="006D461B"/>
    <w:rsid w:val="006D475B"/>
    <w:rsid w:val="006D5D21"/>
    <w:rsid w:val="006D5E7B"/>
    <w:rsid w:val="006D67CA"/>
    <w:rsid w:val="006D6D04"/>
    <w:rsid w:val="006E06A3"/>
    <w:rsid w:val="006E159B"/>
    <w:rsid w:val="006E2686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6A50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210"/>
    <w:rsid w:val="007254B7"/>
    <w:rsid w:val="00725631"/>
    <w:rsid w:val="00726438"/>
    <w:rsid w:val="00726F56"/>
    <w:rsid w:val="00730268"/>
    <w:rsid w:val="00730F0C"/>
    <w:rsid w:val="00731C98"/>
    <w:rsid w:val="007323E6"/>
    <w:rsid w:val="007324D6"/>
    <w:rsid w:val="00732DA0"/>
    <w:rsid w:val="00733CD6"/>
    <w:rsid w:val="00733EFA"/>
    <w:rsid w:val="00735381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34C"/>
    <w:rsid w:val="007464DD"/>
    <w:rsid w:val="007477B0"/>
    <w:rsid w:val="00750F37"/>
    <w:rsid w:val="00752554"/>
    <w:rsid w:val="00753BFB"/>
    <w:rsid w:val="00753E14"/>
    <w:rsid w:val="00754686"/>
    <w:rsid w:val="00754A5D"/>
    <w:rsid w:val="00754BE3"/>
    <w:rsid w:val="00754F0F"/>
    <w:rsid w:val="00755D96"/>
    <w:rsid w:val="00755E60"/>
    <w:rsid w:val="00756B8D"/>
    <w:rsid w:val="00757789"/>
    <w:rsid w:val="00757E61"/>
    <w:rsid w:val="0076046C"/>
    <w:rsid w:val="0076051B"/>
    <w:rsid w:val="00761B18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0B29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C1F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17"/>
    <w:rsid w:val="007A4E87"/>
    <w:rsid w:val="007A5609"/>
    <w:rsid w:val="007A5C8B"/>
    <w:rsid w:val="007A63CA"/>
    <w:rsid w:val="007A6BE3"/>
    <w:rsid w:val="007A74CC"/>
    <w:rsid w:val="007A78F1"/>
    <w:rsid w:val="007B0169"/>
    <w:rsid w:val="007B0823"/>
    <w:rsid w:val="007B1B75"/>
    <w:rsid w:val="007B1C40"/>
    <w:rsid w:val="007B23AC"/>
    <w:rsid w:val="007B26AC"/>
    <w:rsid w:val="007B320B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6874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290C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E0A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672"/>
    <w:rsid w:val="008377B9"/>
    <w:rsid w:val="008405A6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C28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CB7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378"/>
    <w:rsid w:val="008763D8"/>
    <w:rsid w:val="00876653"/>
    <w:rsid w:val="008768EA"/>
    <w:rsid w:val="00876C63"/>
    <w:rsid w:val="0087701C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5A35"/>
    <w:rsid w:val="00885A60"/>
    <w:rsid w:val="00885E3A"/>
    <w:rsid w:val="0088693E"/>
    <w:rsid w:val="00886969"/>
    <w:rsid w:val="008909D5"/>
    <w:rsid w:val="0089195C"/>
    <w:rsid w:val="008924C3"/>
    <w:rsid w:val="00894784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13C6"/>
    <w:rsid w:val="008B2EF8"/>
    <w:rsid w:val="008B3915"/>
    <w:rsid w:val="008B4863"/>
    <w:rsid w:val="008B4BC4"/>
    <w:rsid w:val="008B5B7D"/>
    <w:rsid w:val="008B5F9B"/>
    <w:rsid w:val="008B62FA"/>
    <w:rsid w:val="008B7353"/>
    <w:rsid w:val="008C0A21"/>
    <w:rsid w:val="008C125B"/>
    <w:rsid w:val="008C1D32"/>
    <w:rsid w:val="008C23CF"/>
    <w:rsid w:val="008C25A9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3E39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A85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46"/>
    <w:rsid w:val="008F78BE"/>
    <w:rsid w:val="008F7950"/>
    <w:rsid w:val="00900DB2"/>
    <w:rsid w:val="00900DF9"/>
    <w:rsid w:val="00901AF1"/>
    <w:rsid w:val="00901E58"/>
    <w:rsid w:val="0090240B"/>
    <w:rsid w:val="00902D65"/>
    <w:rsid w:val="00902E77"/>
    <w:rsid w:val="00903C3A"/>
    <w:rsid w:val="0090457A"/>
    <w:rsid w:val="00904BAA"/>
    <w:rsid w:val="00906CD4"/>
    <w:rsid w:val="009078C5"/>
    <w:rsid w:val="009100A4"/>
    <w:rsid w:val="009108B0"/>
    <w:rsid w:val="00910DB8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20D15"/>
    <w:rsid w:val="00921764"/>
    <w:rsid w:val="00921857"/>
    <w:rsid w:val="00921A4F"/>
    <w:rsid w:val="00922B84"/>
    <w:rsid w:val="00922C96"/>
    <w:rsid w:val="00922EB7"/>
    <w:rsid w:val="0092353E"/>
    <w:rsid w:val="00923DA7"/>
    <w:rsid w:val="00924FF7"/>
    <w:rsid w:val="00925429"/>
    <w:rsid w:val="0092542D"/>
    <w:rsid w:val="009261E8"/>
    <w:rsid w:val="00927F42"/>
    <w:rsid w:val="009305F8"/>
    <w:rsid w:val="00931425"/>
    <w:rsid w:val="009315BF"/>
    <w:rsid w:val="00931B39"/>
    <w:rsid w:val="00931D85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1ED2"/>
    <w:rsid w:val="0095340C"/>
    <w:rsid w:val="00954A0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9A8"/>
    <w:rsid w:val="00993C18"/>
    <w:rsid w:val="009956F0"/>
    <w:rsid w:val="009970C9"/>
    <w:rsid w:val="00997CE2"/>
    <w:rsid w:val="009A0226"/>
    <w:rsid w:val="009A0380"/>
    <w:rsid w:val="009A092A"/>
    <w:rsid w:val="009A0B42"/>
    <w:rsid w:val="009A1391"/>
    <w:rsid w:val="009A2557"/>
    <w:rsid w:val="009A2EFA"/>
    <w:rsid w:val="009A43B7"/>
    <w:rsid w:val="009A4753"/>
    <w:rsid w:val="009A5101"/>
    <w:rsid w:val="009A5E26"/>
    <w:rsid w:val="009A5E54"/>
    <w:rsid w:val="009A6FA3"/>
    <w:rsid w:val="009B0424"/>
    <w:rsid w:val="009B09B3"/>
    <w:rsid w:val="009B0DA5"/>
    <w:rsid w:val="009B100E"/>
    <w:rsid w:val="009B1102"/>
    <w:rsid w:val="009B15F9"/>
    <w:rsid w:val="009B26BB"/>
    <w:rsid w:val="009B28FD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05A"/>
    <w:rsid w:val="009D21B1"/>
    <w:rsid w:val="009D2540"/>
    <w:rsid w:val="009D2E1A"/>
    <w:rsid w:val="009D3B5A"/>
    <w:rsid w:val="009D4FA1"/>
    <w:rsid w:val="009D51F8"/>
    <w:rsid w:val="009D565D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13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52E"/>
    <w:rsid w:val="00A116A0"/>
    <w:rsid w:val="00A11A45"/>
    <w:rsid w:val="00A11BCC"/>
    <w:rsid w:val="00A13051"/>
    <w:rsid w:val="00A134F3"/>
    <w:rsid w:val="00A15C70"/>
    <w:rsid w:val="00A166F0"/>
    <w:rsid w:val="00A167BE"/>
    <w:rsid w:val="00A17D67"/>
    <w:rsid w:val="00A21EAD"/>
    <w:rsid w:val="00A22D40"/>
    <w:rsid w:val="00A236D3"/>
    <w:rsid w:val="00A25128"/>
    <w:rsid w:val="00A251EC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488"/>
    <w:rsid w:val="00A3479D"/>
    <w:rsid w:val="00A34971"/>
    <w:rsid w:val="00A353DD"/>
    <w:rsid w:val="00A35B3D"/>
    <w:rsid w:val="00A35D25"/>
    <w:rsid w:val="00A36ED3"/>
    <w:rsid w:val="00A370FB"/>
    <w:rsid w:val="00A372B3"/>
    <w:rsid w:val="00A37501"/>
    <w:rsid w:val="00A37B87"/>
    <w:rsid w:val="00A40BCD"/>
    <w:rsid w:val="00A410A4"/>
    <w:rsid w:val="00A41708"/>
    <w:rsid w:val="00A422F3"/>
    <w:rsid w:val="00A43EEF"/>
    <w:rsid w:val="00A44F9E"/>
    <w:rsid w:val="00A450E4"/>
    <w:rsid w:val="00A45C69"/>
    <w:rsid w:val="00A4602F"/>
    <w:rsid w:val="00A46198"/>
    <w:rsid w:val="00A466A5"/>
    <w:rsid w:val="00A46AB5"/>
    <w:rsid w:val="00A46B15"/>
    <w:rsid w:val="00A47107"/>
    <w:rsid w:val="00A471BB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5B0E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21"/>
    <w:rsid w:val="00A84999"/>
    <w:rsid w:val="00A84F20"/>
    <w:rsid w:val="00A857B5"/>
    <w:rsid w:val="00A85A98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5A3D"/>
    <w:rsid w:val="00A97251"/>
    <w:rsid w:val="00AA1364"/>
    <w:rsid w:val="00AA191F"/>
    <w:rsid w:val="00AA1FFD"/>
    <w:rsid w:val="00AA2586"/>
    <w:rsid w:val="00AA32D4"/>
    <w:rsid w:val="00AA33EC"/>
    <w:rsid w:val="00AA3D9A"/>
    <w:rsid w:val="00AA4A5A"/>
    <w:rsid w:val="00AA4AE8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5B68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88C"/>
    <w:rsid w:val="00AD6FDD"/>
    <w:rsid w:val="00AD73C1"/>
    <w:rsid w:val="00AD7D8B"/>
    <w:rsid w:val="00AE017F"/>
    <w:rsid w:val="00AE0659"/>
    <w:rsid w:val="00AE071D"/>
    <w:rsid w:val="00AE0DB0"/>
    <w:rsid w:val="00AE22DC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7E8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A4F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17A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7CA"/>
    <w:rsid w:val="00B32891"/>
    <w:rsid w:val="00B328C8"/>
    <w:rsid w:val="00B3290B"/>
    <w:rsid w:val="00B32FB9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1992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5F8F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9F1"/>
    <w:rsid w:val="00BA1A06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1827"/>
    <w:rsid w:val="00BB21D4"/>
    <w:rsid w:val="00BB2DCE"/>
    <w:rsid w:val="00BB481F"/>
    <w:rsid w:val="00BB4B02"/>
    <w:rsid w:val="00BB669F"/>
    <w:rsid w:val="00BB6E57"/>
    <w:rsid w:val="00BC0904"/>
    <w:rsid w:val="00BC0AD4"/>
    <w:rsid w:val="00BC1273"/>
    <w:rsid w:val="00BC1892"/>
    <w:rsid w:val="00BC277B"/>
    <w:rsid w:val="00BC2CD1"/>
    <w:rsid w:val="00BC2D2F"/>
    <w:rsid w:val="00BC2F69"/>
    <w:rsid w:val="00BC34DA"/>
    <w:rsid w:val="00BC5206"/>
    <w:rsid w:val="00BC5298"/>
    <w:rsid w:val="00BC5320"/>
    <w:rsid w:val="00BC560A"/>
    <w:rsid w:val="00BC6D1C"/>
    <w:rsid w:val="00BD01C6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15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C14"/>
    <w:rsid w:val="00BE452D"/>
    <w:rsid w:val="00BE4D94"/>
    <w:rsid w:val="00BE5215"/>
    <w:rsid w:val="00BE57F4"/>
    <w:rsid w:val="00BE593A"/>
    <w:rsid w:val="00BE5C5C"/>
    <w:rsid w:val="00BF0874"/>
    <w:rsid w:val="00BF0D44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5A81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3D87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5EA"/>
    <w:rsid w:val="00C45F4E"/>
    <w:rsid w:val="00C45FFE"/>
    <w:rsid w:val="00C46379"/>
    <w:rsid w:val="00C4672C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9F9"/>
    <w:rsid w:val="00C60AC9"/>
    <w:rsid w:val="00C61635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6B22"/>
    <w:rsid w:val="00C66FBC"/>
    <w:rsid w:val="00C67251"/>
    <w:rsid w:val="00C6783B"/>
    <w:rsid w:val="00C6794E"/>
    <w:rsid w:val="00C67F32"/>
    <w:rsid w:val="00C67F8A"/>
    <w:rsid w:val="00C711E5"/>
    <w:rsid w:val="00C7134C"/>
    <w:rsid w:val="00C71C64"/>
    <w:rsid w:val="00C7403E"/>
    <w:rsid w:val="00C744F6"/>
    <w:rsid w:val="00C74AEF"/>
    <w:rsid w:val="00C74CF3"/>
    <w:rsid w:val="00C755A6"/>
    <w:rsid w:val="00C758F4"/>
    <w:rsid w:val="00C761C1"/>
    <w:rsid w:val="00C766A4"/>
    <w:rsid w:val="00C777CE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52A"/>
    <w:rsid w:val="00C86FFF"/>
    <w:rsid w:val="00C87836"/>
    <w:rsid w:val="00C9043B"/>
    <w:rsid w:val="00C908CF"/>
    <w:rsid w:val="00C90948"/>
    <w:rsid w:val="00C914D6"/>
    <w:rsid w:val="00C9169F"/>
    <w:rsid w:val="00C92A7A"/>
    <w:rsid w:val="00C92AF9"/>
    <w:rsid w:val="00C932B2"/>
    <w:rsid w:val="00C93806"/>
    <w:rsid w:val="00C94D44"/>
    <w:rsid w:val="00C9521B"/>
    <w:rsid w:val="00C95586"/>
    <w:rsid w:val="00C9663B"/>
    <w:rsid w:val="00C96C10"/>
    <w:rsid w:val="00C971CF"/>
    <w:rsid w:val="00C97BAD"/>
    <w:rsid w:val="00CA08D5"/>
    <w:rsid w:val="00CA134D"/>
    <w:rsid w:val="00CA2963"/>
    <w:rsid w:val="00CA347B"/>
    <w:rsid w:val="00CA3F9E"/>
    <w:rsid w:val="00CA40E2"/>
    <w:rsid w:val="00CA428E"/>
    <w:rsid w:val="00CA4359"/>
    <w:rsid w:val="00CA4650"/>
    <w:rsid w:val="00CA4A83"/>
    <w:rsid w:val="00CA6A1E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0441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0F4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4E5F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19A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D001A6"/>
    <w:rsid w:val="00D00213"/>
    <w:rsid w:val="00D0056E"/>
    <w:rsid w:val="00D009E7"/>
    <w:rsid w:val="00D00CCB"/>
    <w:rsid w:val="00D00FAA"/>
    <w:rsid w:val="00D01D53"/>
    <w:rsid w:val="00D02999"/>
    <w:rsid w:val="00D0369A"/>
    <w:rsid w:val="00D03C3F"/>
    <w:rsid w:val="00D04858"/>
    <w:rsid w:val="00D05340"/>
    <w:rsid w:val="00D0556D"/>
    <w:rsid w:val="00D055A4"/>
    <w:rsid w:val="00D074B2"/>
    <w:rsid w:val="00D07EA8"/>
    <w:rsid w:val="00D114F8"/>
    <w:rsid w:val="00D12225"/>
    <w:rsid w:val="00D12690"/>
    <w:rsid w:val="00D1367A"/>
    <w:rsid w:val="00D13815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02A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2C77"/>
    <w:rsid w:val="00D431BD"/>
    <w:rsid w:val="00D43454"/>
    <w:rsid w:val="00D43D99"/>
    <w:rsid w:val="00D45239"/>
    <w:rsid w:val="00D45657"/>
    <w:rsid w:val="00D471B3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889"/>
    <w:rsid w:val="00D55C90"/>
    <w:rsid w:val="00D57725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2C0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538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5EDD"/>
    <w:rsid w:val="00DA7007"/>
    <w:rsid w:val="00DA703C"/>
    <w:rsid w:val="00DA75CE"/>
    <w:rsid w:val="00DA76D3"/>
    <w:rsid w:val="00DA7A01"/>
    <w:rsid w:val="00DA7B15"/>
    <w:rsid w:val="00DB01EC"/>
    <w:rsid w:val="00DB0247"/>
    <w:rsid w:val="00DB0561"/>
    <w:rsid w:val="00DB0C45"/>
    <w:rsid w:val="00DB204E"/>
    <w:rsid w:val="00DB23CB"/>
    <w:rsid w:val="00DB2DF6"/>
    <w:rsid w:val="00DB2F50"/>
    <w:rsid w:val="00DB5E43"/>
    <w:rsid w:val="00DB6C32"/>
    <w:rsid w:val="00DB7108"/>
    <w:rsid w:val="00DB76D3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771"/>
    <w:rsid w:val="00DE1D00"/>
    <w:rsid w:val="00DE1D7C"/>
    <w:rsid w:val="00DE2F64"/>
    <w:rsid w:val="00DE3375"/>
    <w:rsid w:val="00DE47DD"/>
    <w:rsid w:val="00DE5756"/>
    <w:rsid w:val="00DE599F"/>
    <w:rsid w:val="00DE5C6E"/>
    <w:rsid w:val="00DE6416"/>
    <w:rsid w:val="00DE68D1"/>
    <w:rsid w:val="00DE71B6"/>
    <w:rsid w:val="00DF0BF1"/>
    <w:rsid w:val="00DF0FDA"/>
    <w:rsid w:val="00DF160D"/>
    <w:rsid w:val="00DF1998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0703"/>
    <w:rsid w:val="00E1097A"/>
    <w:rsid w:val="00E111C0"/>
    <w:rsid w:val="00E11AF7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18CB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57E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60DEC"/>
    <w:rsid w:val="00E60F17"/>
    <w:rsid w:val="00E62AF0"/>
    <w:rsid w:val="00E6313A"/>
    <w:rsid w:val="00E6349B"/>
    <w:rsid w:val="00E643B7"/>
    <w:rsid w:val="00E65216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77745"/>
    <w:rsid w:val="00E807A5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718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219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09B7"/>
    <w:rsid w:val="00EE2107"/>
    <w:rsid w:val="00EE255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6CB0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3AB7"/>
    <w:rsid w:val="00F13BC0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3F69"/>
    <w:rsid w:val="00F344F2"/>
    <w:rsid w:val="00F345C6"/>
    <w:rsid w:val="00F34B3B"/>
    <w:rsid w:val="00F3515E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C09"/>
    <w:rsid w:val="00F44D73"/>
    <w:rsid w:val="00F45B6C"/>
    <w:rsid w:val="00F464B0"/>
    <w:rsid w:val="00F47588"/>
    <w:rsid w:val="00F47A0B"/>
    <w:rsid w:val="00F50A26"/>
    <w:rsid w:val="00F50C5C"/>
    <w:rsid w:val="00F5122F"/>
    <w:rsid w:val="00F515E6"/>
    <w:rsid w:val="00F51864"/>
    <w:rsid w:val="00F5224C"/>
    <w:rsid w:val="00F529E2"/>
    <w:rsid w:val="00F52D0F"/>
    <w:rsid w:val="00F5411D"/>
    <w:rsid w:val="00F541BA"/>
    <w:rsid w:val="00F54D5F"/>
    <w:rsid w:val="00F552DE"/>
    <w:rsid w:val="00F55A82"/>
    <w:rsid w:val="00F56263"/>
    <w:rsid w:val="00F56E85"/>
    <w:rsid w:val="00F56FF3"/>
    <w:rsid w:val="00F60E8E"/>
    <w:rsid w:val="00F61557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675D4"/>
    <w:rsid w:val="00F7024E"/>
    <w:rsid w:val="00F70351"/>
    <w:rsid w:val="00F70BAE"/>
    <w:rsid w:val="00F714A3"/>
    <w:rsid w:val="00F71FC8"/>
    <w:rsid w:val="00F72902"/>
    <w:rsid w:val="00F72981"/>
    <w:rsid w:val="00F7312E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1CA"/>
    <w:rsid w:val="00F91B2A"/>
    <w:rsid w:val="00F91D60"/>
    <w:rsid w:val="00F92943"/>
    <w:rsid w:val="00F92A73"/>
    <w:rsid w:val="00F9312B"/>
    <w:rsid w:val="00F93255"/>
    <w:rsid w:val="00F93306"/>
    <w:rsid w:val="00F93367"/>
    <w:rsid w:val="00F944EE"/>
    <w:rsid w:val="00F947F6"/>
    <w:rsid w:val="00F94B35"/>
    <w:rsid w:val="00F94ED5"/>
    <w:rsid w:val="00F95B07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0FC2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4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45</cp:revision>
  <dcterms:created xsi:type="dcterms:W3CDTF">2025-02-04T17:15:00Z</dcterms:created>
  <dcterms:modified xsi:type="dcterms:W3CDTF">2025-02-07T23:25:00Z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